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0915.0" w:type="dxa"/>
        <w:jc w:val="left"/>
        <w:tblInd w:w="-1139.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418"/>
        <w:gridCol w:w="7229"/>
        <w:gridCol w:w="2268"/>
        <w:tblGridChange w:id="0">
          <w:tblGrid>
            <w:gridCol w:w="1418"/>
            <w:gridCol w:w="7229"/>
            <w:gridCol w:w="2268"/>
          </w:tblGrid>
        </w:tblGridChange>
      </w:tblGrid>
      <w:tr>
        <w:trPr>
          <w:cantSplit w:val="0"/>
          <w:trHeight w:val="1674" w:hRule="atLeast"/>
          <w:tblHeader w:val="0"/>
        </w:trPr>
        <w:tc>
          <w:tcPr/>
          <w:p w:rsidR="00000000" w:rsidDel="00000000" w:rsidP="00000000" w:rsidRDefault="00000000" w:rsidRPr="00000000" w14:paraId="00000002">
            <w:pPr>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-1012188</wp:posOffset>
                  </wp:positionH>
                  <wp:positionV relativeFrom="paragraph">
                    <wp:posOffset>3175</wp:posOffset>
                  </wp:positionV>
                  <wp:extent cx="704850" cy="1051560"/>
                  <wp:effectExtent b="0" l="0" r="0" t="0"/>
                  <wp:wrapNone/>
                  <wp:docPr id="97" name="image27.jpg"/>
                  <a:graphic>
                    <a:graphicData uri="http://schemas.openxmlformats.org/drawingml/2006/picture">
                      <pic:pic>
                        <pic:nvPicPr>
                          <pic:cNvPr id="0" name="image27.jpg"/>
                          <pic:cNvPicPr preferRelativeResize="0"/>
                        </pic:nvPicPr>
                        <pic:blipFill>
                          <a:blip r:embed="rId7"/>
                          <a:srcRect b="0" l="0" r="0" t="0"/>
                          <a:stretch>
                            <a:fillRect/>
                          </a:stretch>
                        </pic:blipFill>
                        <pic:spPr>
                          <a:xfrm>
                            <a:off x="0" y="0"/>
                            <a:ext cx="704850" cy="1051560"/>
                          </a:xfrm>
                          <a:prstGeom prst="rect"/>
                          <a:ln/>
                        </pic:spPr>
                      </pic:pic>
                    </a:graphicData>
                  </a:graphic>
                </wp:anchor>
              </w:drawing>
            </w:r>
          </w:p>
        </w:tc>
        <w:tc>
          <w:tcPr>
            <w:vAlign w:val="center"/>
          </w:tcPr>
          <w:p w:rsidR="00000000" w:rsidDel="00000000" w:rsidP="00000000" w:rsidRDefault="00000000" w:rsidRPr="00000000" w14:paraId="00000003">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UNIVERSIDADE ESTADUAL DE FEIRA DE SANTANA</w:t>
            </w:r>
          </w:p>
          <w:p w:rsidR="00000000" w:rsidDel="00000000" w:rsidP="00000000" w:rsidRDefault="00000000" w:rsidRPr="00000000" w14:paraId="00000004">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DEPARTAMENTO DE CIÊNCIAS EXATAS </w:t>
            </w:r>
          </w:p>
          <w:p w:rsidR="00000000" w:rsidDel="00000000" w:rsidP="00000000" w:rsidRDefault="00000000" w:rsidRPr="00000000" w14:paraId="00000005">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PROGRAMA DE PÓS-GRADUAÇÃO EM MODELAGEM EM CIÊNCIAS DA TERRA E DO MEIO AMBIENTE</w:t>
            </w:r>
          </w:p>
        </w:tc>
        <w:tc>
          <w:tcPr>
            <w:vAlign w:val="center"/>
          </w:tcPr>
          <w:bookmarkStart w:colFirst="0" w:colLast="0" w:name="bookmark=id.gjdgxs" w:id="0"/>
          <w:bookmarkEnd w:id="0"/>
          <w:p w:rsidR="00000000" w:rsidDel="00000000" w:rsidP="00000000" w:rsidRDefault="00000000" w:rsidRPr="00000000" w14:paraId="00000006">
            <w:pPr>
              <w:jc w:val="center"/>
              <w:rPr>
                <w:rFonts w:ascii="Times New Roman" w:cs="Times New Roman" w:eastAsia="Times New Roman" w:hAnsi="Times New Roman"/>
                <w:b w:val="1"/>
                <w:sz w:val="24"/>
                <w:szCs w:val="24"/>
              </w:rPr>
            </w:pPr>
            <w:r w:rsidDel="00000000" w:rsidR="00000000" w:rsidRPr="00000000">
              <w:rPr/>
              <w:drawing>
                <wp:inline distB="0" distT="0" distL="0" distR="0">
                  <wp:extent cx="1242695" cy="972185"/>
                  <wp:effectExtent b="0" l="0" r="0" t="0"/>
                  <wp:docPr id="148" name="image37.jpg"/>
                  <a:graphic>
                    <a:graphicData uri="http://schemas.openxmlformats.org/drawingml/2006/picture">
                      <pic:pic>
                        <pic:nvPicPr>
                          <pic:cNvPr id="0" name="image37.jpg"/>
                          <pic:cNvPicPr preferRelativeResize="0"/>
                        </pic:nvPicPr>
                        <pic:blipFill>
                          <a:blip r:embed="rId8"/>
                          <a:srcRect b="0" l="0" r="0" t="0"/>
                          <a:stretch>
                            <a:fillRect/>
                          </a:stretch>
                        </pic:blipFill>
                        <pic:spPr>
                          <a:xfrm>
                            <a:off x="0" y="0"/>
                            <a:ext cx="1242695" cy="97218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07">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8">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9">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A">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Priscylla Marcelly Vilanova Oliveira do Nascimento</w:t>
      </w:r>
    </w:p>
    <w:p w:rsidR="00000000" w:rsidDel="00000000" w:rsidP="00000000" w:rsidRDefault="00000000" w:rsidRPr="00000000" w14:paraId="0000000C">
      <w:pPr>
        <w:spacing w:after="144" w:before="14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D">
      <w:pPr>
        <w:spacing w:after="144" w:before="14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spacing w:after="144" w:before="144" w:line="240" w:lineRule="auto"/>
        <w:rPr/>
      </w:pPr>
      <w:r w:rsidDel="00000000" w:rsidR="00000000" w:rsidRPr="00000000">
        <w:rPr>
          <w:rtl w:val="0"/>
        </w:rPr>
      </w:r>
    </w:p>
    <w:p w:rsidR="00000000" w:rsidDel="00000000" w:rsidP="00000000" w:rsidRDefault="00000000" w:rsidRPr="00000000" w14:paraId="00000010">
      <w:pPr>
        <w:spacing w:after="144" w:before="144" w:line="240" w:lineRule="auto"/>
        <w:rPr/>
      </w:pPr>
      <w:r w:rsidDel="00000000" w:rsidR="00000000" w:rsidRPr="00000000">
        <w:rPr>
          <w:rtl w:val="0"/>
        </w:rPr>
      </w:r>
    </w:p>
    <w:p w:rsidR="00000000" w:rsidDel="00000000" w:rsidP="00000000" w:rsidRDefault="00000000" w:rsidRPr="00000000" w14:paraId="00000011">
      <w:pPr>
        <w:spacing w:after="0" w:line="36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Distribuição espaço-temporal das espécies animais envolvidas em agravos a humanos e o tratamento antirrábico em Feira de Santana, BA (2008-2019)</w:t>
      </w:r>
    </w:p>
    <w:p w:rsidR="00000000" w:rsidDel="00000000" w:rsidP="00000000" w:rsidRDefault="00000000" w:rsidRPr="00000000" w14:paraId="00000012">
      <w:pPr>
        <w:spacing w:after="0" w:line="36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13">
      <w:pPr>
        <w:spacing w:after="0" w:line="36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14">
      <w:pPr>
        <w:spacing w:after="0" w:line="36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15">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Feira de Santana - BA</w:t>
      </w:r>
    </w:p>
    <w:p w:rsidR="00000000" w:rsidDel="00000000" w:rsidP="00000000" w:rsidRDefault="00000000" w:rsidRPr="00000000" w14:paraId="0000001E">
      <w:pPr>
        <w:ind w:left="-284" w:firstLine="0"/>
        <w:jc w:val="center"/>
        <w:rPr>
          <w:rFonts w:ascii="Times New Roman" w:cs="Times New Roman" w:eastAsia="Times New Roman" w:hAnsi="Times New Roman"/>
          <w:b w:val="1"/>
          <w:sz w:val="24"/>
          <w:szCs w:val="24"/>
        </w:rPr>
        <w:sectPr>
          <w:headerReference r:id="rId9" w:type="default"/>
          <w:pgSz w:h="16838" w:w="11906" w:orient="portrait"/>
          <w:pgMar w:bottom="1417" w:top="1417" w:left="1701" w:right="1701" w:header="708" w:footer="708"/>
          <w:pgNumType w:start="1"/>
          <w:titlePg w:val="1"/>
        </w:sectPr>
      </w:pPr>
      <w:r w:rsidDel="00000000" w:rsidR="00000000" w:rsidRPr="00000000">
        <w:rPr>
          <w:rFonts w:ascii="Times New Roman" w:cs="Times New Roman" w:eastAsia="Times New Roman" w:hAnsi="Times New Roman"/>
          <w:b w:val="1"/>
          <w:sz w:val="24"/>
          <w:szCs w:val="24"/>
          <w:rtl w:val="0"/>
        </w:rPr>
        <w:t xml:space="preserve">2022</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bl>
      <w:tblPr>
        <w:tblStyle w:val="Table2"/>
        <w:tblW w:w="10915.0" w:type="dxa"/>
        <w:jc w:val="left"/>
        <w:tblInd w:w="-1139.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418"/>
        <w:gridCol w:w="7229"/>
        <w:gridCol w:w="2268"/>
        <w:tblGridChange w:id="0">
          <w:tblGrid>
            <w:gridCol w:w="1418"/>
            <w:gridCol w:w="7229"/>
            <w:gridCol w:w="2268"/>
          </w:tblGrid>
        </w:tblGridChange>
      </w:tblGrid>
      <w:tr>
        <w:trPr>
          <w:cantSplit w:val="0"/>
          <w:trHeight w:val="1674" w:hRule="atLeast"/>
          <w:tblHeader w:val="0"/>
        </w:trPr>
        <w:tc>
          <w:tcPr/>
          <w:p w:rsidR="00000000" w:rsidDel="00000000" w:rsidP="00000000" w:rsidRDefault="00000000" w:rsidRPr="00000000" w14:paraId="00000020">
            <w:pPr>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-1012188</wp:posOffset>
                  </wp:positionH>
                  <wp:positionV relativeFrom="paragraph">
                    <wp:posOffset>3175</wp:posOffset>
                  </wp:positionV>
                  <wp:extent cx="704850" cy="1051560"/>
                  <wp:effectExtent b="0" l="0" r="0" t="0"/>
                  <wp:wrapNone/>
                  <wp:docPr descr="Uma imagem contendo placar, desenho&#10;&#10;Descrição gerada automaticamente" id="165" name="image27.jpg"/>
                  <a:graphic>
                    <a:graphicData uri="http://schemas.openxmlformats.org/drawingml/2006/picture">
                      <pic:pic>
                        <pic:nvPicPr>
                          <pic:cNvPr descr="Uma imagem contendo placar, desenho&#10;&#10;Descrição gerada automaticamente" id="0" name="image27.jpg"/>
                          <pic:cNvPicPr preferRelativeResize="0"/>
                        </pic:nvPicPr>
                        <pic:blipFill>
                          <a:blip r:embed="rId7"/>
                          <a:srcRect b="0" l="0" r="0" t="0"/>
                          <a:stretch>
                            <a:fillRect/>
                          </a:stretch>
                        </pic:blipFill>
                        <pic:spPr>
                          <a:xfrm>
                            <a:off x="0" y="0"/>
                            <a:ext cx="704850" cy="1051560"/>
                          </a:xfrm>
                          <a:prstGeom prst="rect"/>
                          <a:ln/>
                        </pic:spPr>
                      </pic:pic>
                    </a:graphicData>
                  </a:graphic>
                </wp:anchor>
              </w:drawing>
            </w:r>
          </w:p>
        </w:tc>
        <w:tc>
          <w:tcPr>
            <w:vAlign w:val="center"/>
          </w:tcPr>
          <w:p w:rsidR="00000000" w:rsidDel="00000000" w:rsidP="00000000" w:rsidRDefault="00000000" w:rsidRPr="00000000" w14:paraId="00000021">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UNIVERSIDADE ESTADUAL DE FEIRA DE SANTANA</w:t>
            </w:r>
          </w:p>
          <w:p w:rsidR="00000000" w:rsidDel="00000000" w:rsidP="00000000" w:rsidRDefault="00000000" w:rsidRPr="00000000" w14:paraId="00000022">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DEPARTAMENTO DE CIÊNCIAS EXATAS </w:t>
            </w:r>
          </w:p>
          <w:p w:rsidR="00000000" w:rsidDel="00000000" w:rsidP="00000000" w:rsidRDefault="00000000" w:rsidRPr="00000000" w14:paraId="00000023">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PROGRAMA DE PÓS-GRADUAÇÃO EM MODELAGEM EM CIÊNCIAS DA TERRA E DO MEIO AMBIENTE</w:t>
            </w:r>
          </w:p>
        </w:tc>
        <w:tc>
          <w:tcPr>
            <w:vAlign w:val="center"/>
          </w:tcPr>
          <w:p w:rsidR="00000000" w:rsidDel="00000000" w:rsidP="00000000" w:rsidRDefault="00000000" w:rsidRPr="00000000" w14:paraId="00000024">
            <w:pPr>
              <w:jc w:val="center"/>
              <w:rPr>
                <w:rFonts w:ascii="Times New Roman" w:cs="Times New Roman" w:eastAsia="Times New Roman" w:hAnsi="Times New Roman"/>
                <w:b w:val="1"/>
                <w:sz w:val="24"/>
                <w:szCs w:val="24"/>
              </w:rPr>
            </w:pPr>
            <w:r w:rsidDel="00000000" w:rsidR="00000000" w:rsidRPr="00000000">
              <w:rPr/>
              <w:drawing>
                <wp:inline distB="0" distT="0" distL="0" distR="0">
                  <wp:extent cx="1242695" cy="972185"/>
                  <wp:effectExtent b="0" l="0" r="0" t="0"/>
                  <wp:docPr descr="Desenho de uma flor&#10;&#10;Descrição gerada automaticamente com confiança baixa" id="149" name="image37.jpg"/>
                  <a:graphic>
                    <a:graphicData uri="http://schemas.openxmlformats.org/drawingml/2006/picture">
                      <pic:pic>
                        <pic:nvPicPr>
                          <pic:cNvPr descr="Desenho de uma flor&#10;&#10;Descrição gerada automaticamente com confiança baixa" id="0" name="image37.jpg"/>
                          <pic:cNvPicPr preferRelativeResize="0"/>
                        </pic:nvPicPr>
                        <pic:blipFill>
                          <a:blip r:embed="rId8"/>
                          <a:srcRect b="0" l="0" r="0" t="0"/>
                          <a:stretch>
                            <a:fillRect/>
                          </a:stretch>
                        </pic:blipFill>
                        <pic:spPr>
                          <a:xfrm>
                            <a:off x="0" y="0"/>
                            <a:ext cx="1242695" cy="97218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5">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6">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7">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8">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Priscylla Marcelly Vilanova Oliveira do Nascimento</w:t>
      </w:r>
    </w:p>
    <w:p w:rsidR="00000000" w:rsidDel="00000000" w:rsidP="00000000" w:rsidRDefault="00000000" w:rsidRPr="00000000" w14:paraId="0000002A">
      <w:pPr>
        <w:spacing w:after="144" w:before="14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B">
      <w:pPr>
        <w:spacing w:after="144" w:before="14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spacing w:after="144" w:before="144" w:line="240" w:lineRule="auto"/>
        <w:rPr/>
      </w:pPr>
      <w:r w:rsidDel="00000000" w:rsidR="00000000" w:rsidRPr="00000000">
        <w:rPr>
          <w:rtl w:val="0"/>
        </w:rPr>
      </w:r>
    </w:p>
    <w:p w:rsidR="00000000" w:rsidDel="00000000" w:rsidP="00000000" w:rsidRDefault="00000000" w:rsidRPr="00000000" w14:paraId="0000002E">
      <w:pPr>
        <w:spacing w:after="144" w:before="144" w:line="240" w:lineRule="auto"/>
        <w:rPr/>
      </w:pPr>
      <w:r w:rsidDel="00000000" w:rsidR="00000000" w:rsidRPr="00000000">
        <w:rPr>
          <w:rtl w:val="0"/>
        </w:rPr>
      </w:r>
    </w:p>
    <w:p w:rsidR="00000000" w:rsidDel="00000000" w:rsidP="00000000" w:rsidRDefault="00000000" w:rsidRPr="00000000" w14:paraId="0000002F">
      <w:pPr>
        <w:spacing w:after="0" w:line="36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Distribuição espaço-temporal das espécies animais envolvidas em agravos a humanos e o tratamento antirrábico em Feira de Santana, BA (2008-2019)</w:t>
      </w:r>
    </w:p>
    <w:p w:rsidR="00000000" w:rsidDel="00000000" w:rsidP="00000000" w:rsidRDefault="00000000" w:rsidRPr="00000000" w14:paraId="00000030">
      <w:pPr>
        <w:spacing w:after="144" w:before="144"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1">
      <w:pPr>
        <w:spacing w:after="144" w:before="144"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2">
      <w:pPr>
        <w:spacing w:after="144" w:before="144"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3">
      <w:pPr>
        <w:spacing w:after="0" w:line="360" w:lineRule="auto"/>
        <w:ind w:left="411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Dissertação apresentada ao Programa de Pós-Graduação em Modelagem em Ciências da Terra e do Ambiente como parte dos requisitos para a obtenção do grau de Mestre em Ciências Ambientais</w:t>
      </w:r>
    </w:p>
    <w:p w:rsidR="00000000" w:rsidDel="00000000" w:rsidP="00000000" w:rsidRDefault="00000000" w:rsidRPr="00000000" w14:paraId="00000034">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ind w:left="4111"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Orientador: Prof. Dr. Aristeu Vieira da Silva</w:t>
      </w:r>
    </w:p>
    <w:p w:rsidR="00000000" w:rsidDel="00000000" w:rsidP="00000000" w:rsidRDefault="00000000" w:rsidRPr="00000000" w14:paraId="00000036">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Feira de Santana - BA</w:t>
      </w:r>
    </w:p>
    <w:p w:rsidR="00000000" w:rsidDel="00000000" w:rsidP="00000000" w:rsidRDefault="00000000" w:rsidRPr="00000000" w14:paraId="0000003A">
      <w:pPr>
        <w:jc w:val="center"/>
        <w:rPr>
          <w:rFonts w:ascii="Times New Roman" w:cs="Times New Roman" w:eastAsia="Times New Roman" w:hAnsi="Times New Roman"/>
          <w:b w:val="1"/>
          <w:sz w:val="24"/>
          <w:szCs w:val="24"/>
        </w:rPr>
        <w:sectPr>
          <w:headerReference r:id="rId10" w:type="first"/>
          <w:type w:val="nextPage"/>
          <w:pgSz w:h="16838" w:w="11906" w:orient="portrait"/>
          <w:pgMar w:bottom="1417" w:top="1417" w:left="1701" w:right="1701" w:header="708" w:footer="708"/>
          <w:pgNumType w:start="1"/>
          <w:titlePg w:val="1"/>
        </w:sectPr>
      </w:pPr>
      <w:r w:rsidDel="00000000" w:rsidR="00000000" w:rsidRPr="00000000">
        <w:rPr>
          <w:rFonts w:ascii="Times New Roman" w:cs="Times New Roman" w:eastAsia="Times New Roman" w:hAnsi="Times New Roman"/>
          <w:b w:val="1"/>
          <w:sz w:val="24"/>
          <w:szCs w:val="24"/>
          <w:rtl w:val="0"/>
        </w:rPr>
        <w:t xml:space="preserve">2022</w:t>
      </w:r>
    </w:p>
    <w:p w:rsidR="00000000" w:rsidDel="00000000" w:rsidP="00000000" w:rsidRDefault="00000000" w:rsidRPr="00000000" w14:paraId="0000003B">
      <w:pPr>
        <w:ind w:left="-284"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C">
      <w:pPr>
        <w:ind w:left="-284"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D">
      <w:pPr>
        <w:ind w:left="-284"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E">
      <w:pPr>
        <w:ind w:left="-284" w:firstLine="0"/>
        <w:jc w:val="center"/>
        <w:rPr>
          <w:rFonts w:ascii="Times New Roman" w:cs="Times New Roman" w:eastAsia="Times New Roman" w:hAnsi="Times New Roman"/>
          <w:b w:val="1"/>
          <w:sz w:val="24"/>
          <w:szCs w:val="24"/>
        </w:rPr>
        <w:sectPr>
          <w:headerReference r:id="rId11" w:type="first"/>
          <w:type w:val="nextPage"/>
          <w:pgSz w:h="16838" w:w="11906" w:orient="portrait"/>
          <w:pgMar w:bottom="1417" w:top="1417" w:left="1701" w:right="1701" w:header="708" w:footer="708"/>
          <w:titlePg w:val="1"/>
        </w:sectPr>
      </w:pPr>
      <w:r w:rsidDel="00000000" w:rsidR="00000000" w:rsidRPr="00000000">
        <w:rPr>
          <w:rFonts w:ascii="Times New Roman" w:cs="Times New Roman" w:eastAsia="Times New Roman" w:hAnsi="Times New Roman"/>
          <w:b w:val="1"/>
          <w:sz w:val="24"/>
          <w:szCs w:val="24"/>
        </w:rPr>
        <w:drawing>
          <wp:anchor allowOverlap="1" behindDoc="0" distB="0" distT="0" distL="114300" distR="114300" hidden="0" layoutInCell="1" locked="0" relativeHeight="0" simplePos="0">
            <wp:simplePos x="0" y="0"/>
            <wp:positionH relativeFrom="margin">
              <wp:posOffset>-3809</wp:posOffset>
            </wp:positionH>
            <wp:positionV relativeFrom="margin">
              <wp:posOffset>5234305</wp:posOffset>
            </wp:positionV>
            <wp:extent cx="4994910" cy="3651250"/>
            <wp:effectExtent b="0" l="0" r="0" t="0"/>
            <wp:wrapSquare wrapText="bothSides" distB="0" distT="0" distL="114300" distR="114300"/>
            <wp:docPr id="108" name="image13.jpg"/>
            <a:graphic>
              <a:graphicData uri="http://schemas.openxmlformats.org/drawingml/2006/picture">
                <pic:pic>
                  <pic:nvPicPr>
                    <pic:cNvPr id="0" name="image13.jpg"/>
                    <pic:cNvPicPr preferRelativeResize="0"/>
                  </pic:nvPicPr>
                  <pic:blipFill>
                    <a:blip r:embed="rId12"/>
                    <a:srcRect b="13007" l="17684" r="16554" t="52998"/>
                    <a:stretch>
                      <a:fillRect/>
                    </a:stretch>
                  </pic:blipFill>
                  <pic:spPr>
                    <a:xfrm>
                      <a:off x="0" y="0"/>
                      <a:ext cx="4994910" cy="3651250"/>
                    </a:xfrm>
                    <a:prstGeom prst="rect"/>
                    <a:ln/>
                  </pic:spPr>
                </pic:pic>
              </a:graphicData>
            </a:graphic>
          </wp:anchor>
        </w:drawing>
      </w:r>
      <w:r w:rsidDel="00000000" w:rsidR="00000000" w:rsidRPr="00000000">
        <w:rPr>
          <w:rtl w:val="0"/>
        </w:rPr>
      </w:r>
    </w:p>
    <w:p w:rsidR="00000000" w:rsidDel="00000000" w:rsidP="00000000" w:rsidRDefault="00000000" w:rsidRPr="00000000" w14:paraId="0000003F">
      <w:pPr>
        <w:ind w:left="-284" w:firstLine="0"/>
        <w:rPr>
          <w:rFonts w:ascii="Times New Roman" w:cs="Times New Roman" w:eastAsia="Times New Roman" w:hAnsi="Times New Roman"/>
          <w:b w:val="1"/>
          <w:sz w:val="24"/>
          <w:szCs w:val="24"/>
        </w:rPr>
      </w:pPr>
      <w:bookmarkStart w:colFirst="0" w:colLast="0" w:name="_heading=h.30j0zll" w:id="1"/>
      <w:bookmarkEnd w:id="1"/>
      <w:r w:rsidDel="00000000" w:rsidR="00000000" w:rsidRPr="00000000">
        <w:rPr>
          <w:rtl w:val="0"/>
        </w:rPr>
      </w:r>
    </w:p>
    <w:p w:rsidR="00000000" w:rsidDel="00000000" w:rsidP="00000000" w:rsidRDefault="00000000" w:rsidRPr="00000000" w14:paraId="00000040">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1">
      <w:pPr>
        <w:ind w:left="-284"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anchor allowOverlap="1" behindDoc="0" distB="0" distT="0" distL="114300" distR="114300" hidden="0" layoutInCell="1" locked="0" relativeHeight="0" simplePos="0">
            <wp:simplePos x="0" y="0"/>
            <wp:positionH relativeFrom="margin">
              <wp:align>center</wp:align>
            </wp:positionH>
            <wp:positionV relativeFrom="margin">
              <wp:align>center</wp:align>
            </wp:positionV>
            <wp:extent cx="5569585" cy="7089140"/>
            <wp:effectExtent b="0" l="0" r="0" t="0"/>
            <wp:wrapSquare wrapText="bothSides" distB="0" distT="0" distL="114300" distR="114300"/>
            <wp:docPr id="147" name="image59.jpg"/>
            <a:graphic>
              <a:graphicData uri="http://schemas.openxmlformats.org/drawingml/2006/picture">
                <pic:pic>
                  <pic:nvPicPr>
                    <pic:cNvPr id="0" name="image59.jpg"/>
                    <pic:cNvPicPr preferRelativeResize="0"/>
                  </pic:nvPicPr>
                  <pic:blipFill>
                    <a:blip r:embed="rId13"/>
                    <a:srcRect b="22830" l="10405" r="13223" t="6709"/>
                    <a:stretch>
                      <a:fillRect/>
                    </a:stretch>
                  </pic:blipFill>
                  <pic:spPr>
                    <a:xfrm>
                      <a:off x="0" y="0"/>
                      <a:ext cx="5569585" cy="7089140"/>
                    </a:xfrm>
                    <a:prstGeom prst="rect"/>
                    <a:ln/>
                  </pic:spPr>
                </pic:pic>
              </a:graphicData>
            </a:graphic>
          </wp:anchor>
        </w:drawing>
      </w:r>
      <w:r w:rsidDel="00000000" w:rsidR="00000000" w:rsidRPr="00000000">
        <w:br w:type="page"/>
      </w:r>
      <w:r w:rsidDel="00000000" w:rsidR="00000000" w:rsidRPr="00000000">
        <w:rPr>
          <w:rtl w:val="0"/>
        </w:rPr>
      </w:r>
    </w:p>
    <w:p w:rsidR="00000000" w:rsidDel="00000000" w:rsidP="00000000" w:rsidRDefault="00000000" w:rsidRPr="00000000" w14:paraId="00000042">
      <w:pPr>
        <w:ind w:left="-284"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AGRADECIMENTOS</w:t>
      </w:r>
    </w:p>
    <w:p w:rsidR="00000000" w:rsidDel="00000000" w:rsidP="00000000" w:rsidRDefault="00000000" w:rsidRPr="00000000" w14:paraId="00000043">
      <w:pPr>
        <w:spacing w:after="0" w:line="36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Quero agradecer primeiramente a Deus, pois sem ele nada disso teria acontecido. Dentro da Universidade Estadual de Feira de Santana, UEFS, foram vários anos de lutas, conquistas, esforço e aprendizado, sei que tudo está na vontade de Deus e foi ele que me ajudou chegar até aqui. Logo quando me formei, fiz a seleção para o Mestrado de Pós-graduação em Modelagem e Ciências da Terra e do ambiente, PPGM, e fui aprovada.  Então começou uma nova jornada em minha vida com grandes desafios, mas também com grandes conquistas durante esses dois anos e encontrei pessoas incríveis que quero levar para toda vida. </w:t>
      </w:r>
    </w:p>
    <w:p w:rsidR="00000000" w:rsidDel="00000000" w:rsidP="00000000" w:rsidRDefault="00000000" w:rsidRPr="00000000" w14:paraId="00000044">
      <w:pPr>
        <w:spacing w:after="0" w:line="36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Quero agradecer ao Professor Dr. Aristeu Vieira da Silva por ser meu orientador durante todos os anos da minha graduação e agora no mestrado, que me ajudou, orientou, aconselhou, ensinou, me deu oportunidades de trabalhos que poderiam ser difíceis, mas fez adquirir conhecimento e maturidade na minha vida profissional.  A FAPESB, pela concessão da bolsa de mestrado que me auxiliou bastante durante esse período. Ao PPGM pela equipe de coordenadores, docentes e a secretaria especialmente ao Diego Leite, por sempre estarem dispostos a apoiar os discentes com dedicação, amor e conhecimento. A todos do Laboratório de Análises Clínicas da UEFS (LAC) e o Grupo de Pesquisa em Zoonoses e Saúde Pública pela ajuda e amizade que foi crescendo a cada dia.  </w:t>
      </w:r>
    </w:p>
    <w:p w:rsidR="00000000" w:rsidDel="00000000" w:rsidP="00000000" w:rsidRDefault="00000000" w:rsidRPr="00000000" w14:paraId="00000045">
      <w:pPr>
        <w:spacing w:after="0" w:line="36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Aos meus pais por acreditarem em mim e investiram em meus estudos durante todos os anos da minha vida, sempre se esforçando para dar o melhor, nunca poderei me esquecer de tudo que fizeram por mim. Ao meu irmão por me ajudar nos estudos e sempre torcer pela minha conquista. E agora, principalmente não poderei deixar de agradecer, ao amor da minha vida, meu esposo Douglas Lima, por sempre estar ao meu lado me apoiando e cuidando de mim, sendo sempre paciente e entendendo todos os momentos, me motivando e aconselhando nos momentos que precisei. </w:t>
      </w:r>
    </w:p>
    <w:p w:rsidR="00000000" w:rsidDel="00000000" w:rsidP="00000000" w:rsidRDefault="00000000" w:rsidRPr="00000000" w14:paraId="00000046">
      <w:pPr>
        <w:spacing w:after="0" w:line="36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Aos demais amigos que tenho, que sempre me apoiaram e sempre demostraram carinho e aos meus colegas que me ajudaram, incentivaram aos estudos, e a banca examinadora por ter aceitado o convite para avaliar o meu trabalho.</w:t>
      </w:r>
    </w:p>
    <w:p w:rsidR="00000000" w:rsidDel="00000000" w:rsidP="00000000" w:rsidRDefault="00000000" w:rsidRPr="00000000" w14:paraId="00000047">
      <w:pPr>
        <w:ind w:left="-284" w:firstLine="0"/>
        <w:jc w:val="center"/>
        <w:rPr>
          <w:rFonts w:ascii="Times New Roman" w:cs="Times New Roman" w:eastAsia="Times New Roman" w:hAnsi="Times New Roman"/>
          <w:b w:val="1"/>
          <w:sz w:val="24"/>
          <w:szCs w:val="24"/>
        </w:rPr>
        <w:sectPr>
          <w:type w:val="nextPage"/>
          <w:pgSz w:h="16838" w:w="11906" w:orient="portrait"/>
          <w:pgMar w:bottom="1417" w:top="1417" w:left="1701" w:right="1701" w:header="708" w:footer="708"/>
          <w:pgNumType w:start="2"/>
          <w:titlePg w:val="1"/>
        </w:sectPr>
      </w:pPr>
      <w:r w:rsidDel="00000000" w:rsidR="00000000" w:rsidRPr="00000000">
        <w:rPr>
          <w:rtl w:val="0"/>
        </w:rPr>
      </w:r>
    </w:p>
    <w:p w:rsidR="00000000" w:rsidDel="00000000" w:rsidP="00000000" w:rsidRDefault="00000000" w:rsidRPr="00000000" w14:paraId="00000048">
      <w:pPr>
        <w:spacing w:after="0" w:line="240" w:lineRule="auto"/>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i w:val="1"/>
          <w:sz w:val="24"/>
          <w:szCs w:val="24"/>
          <w:rtl w:val="0"/>
        </w:rPr>
        <w:t xml:space="preserve">“Portanto dele, por Ele e para Ele são todas as coisas. A Ele seja a glória</w:t>
      </w:r>
      <w:r w:rsidDel="00000000" w:rsidR="00000000" w:rsidRPr="00000000">
        <w:rPr>
          <w:rtl w:val="0"/>
        </w:rPr>
      </w:r>
    </w:p>
    <w:p w:rsidR="00000000" w:rsidDel="00000000" w:rsidP="00000000" w:rsidRDefault="00000000" w:rsidRPr="00000000" w14:paraId="00000049">
      <w:pPr>
        <w:spacing w:after="0" w:line="240" w:lineRule="auto"/>
        <w:jc w:val="right"/>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perpetuamente! Amém.’’</w:t>
      </w:r>
    </w:p>
    <w:p w:rsidR="00000000" w:rsidDel="00000000" w:rsidP="00000000" w:rsidRDefault="00000000" w:rsidRPr="00000000" w14:paraId="0000004A">
      <w:pPr>
        <w:jc w:val="right"/>
        <w:rPr>
          <w:rFonts w:ascii="Times New Roman" w:cs="Times New Roman" w:eastAsia="Times New Roman" w:hAnsi="Times New Roman"/>
          <w:sz w:val="24"/>
          <w:szCs w:val="24"/>
        </w:rPr>
        <w:sectPr>
          <w:type w:val="nextPage"/>
          <w:pgSz w:h="16838" w:w="11906" w:orient="portrait"/>
          <w:pgMar w:bottom="1418" w:top="1418" w:left="1701" w:right="1701" w:header="709" w:footer="709"/>
          <w:titlePg w:val="1"/>
        </w:sectPr>
      </w:pPr>
      <w:r w:rsidDel="00000000" w:rsidR="00000000" w:rsidRPr="00000000">
        <w:rPr>
          <w:rFonts w:ascii="Times New Roman" w:cs="Times New Roman" w:eastAsia="Times New Roman" w:hAnsi="Times New Roman"/>
          <w:sz w:val="24"/>
          <w:szCs w:val="24"/>
          <w:rtl w:val="0"/>
        </w:rPr>
        <w:t xml:space="preserve">Romanos 11:36</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Lista de tabelas</w:t>
      </w:r>
    </w:p>
    <w:sdt>
      <w:sdtPr>
        <w:docPartObj>
          <w:docPartGallery w:val="Table of Contents"/>
          <w:docPartUnique w:val="1"/>
        </w:docPartObj>
      </w:sdtPr>
      <w:sdtContent>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2"/>
            </w:tabs>
            <w:spacing w:after="0" w:before="120" w:line="240" w:lineRule="auto"/>
            <w:ind w:left="992" w:right="0" w:hanging="992"/>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2xcytpi">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Tabela 1.</w:t>
            </w:r>
          </w:hyperlink>
          <w:hyperlink w:anchor="_heading=h.2xcytp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_heading=h.2xcytpi \h </w:instrText>
            <w:fldChar w:fldCharType="separate"/>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Frequência absoluta (Fi), frequência relativa (fi) e escore de intervalo de confiança (IC95%) de Wilson dos agravos a seres humanos segundo a espécie agressora em Feira de Santana, BA, 2008-2019</w:t>
            <w:tab/>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2"/>
            </w:tabs>
            <w:spacing w:after="0" w:before="120" w:line="240" w:lineRule="auto"/>
            <w:ind w:left="992" w:right="0" w:hanging="992"/>
            <w:jc w:val="left"/>
            <w:rPr>
              <w:rFonts w:ascii="Calibri" w:cs="Calibri" w:eastAsia="Calibri" w:hAnsi="Calibri"/>
              <w:b w:val="0"/>
              <w:i w:val="0"/>
              <w:smallCaps w:val="0"/>
              <w:strike w:val="0"/>
              <w:color w:val="000000"/>
              <w:sz w:val="22"/>
              <w:szCs w:val="22"/>
              <w:u w:val="none"/>
              <w:shd w:fill="auto" w:val="clear"/>
              <w:vertAlign w:val="baseline"/>
            </w:rPr>
          </w:pPr>
          <w:hyperlink w:anchor="_heading=h.3tbugp1">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Tabela 2.</w:t>
            </w:r>
          </w:hyperlink>
          <w:hyperlink w:anchor="_heading=h.3tbugp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_heading=h.3tbugp1 \h </w:instrText>
            <w:fldChar w:fldCharType="separate"/>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Frequências absolutas (Fi) e relativa (fi), para as variáveis do perfil sociodemográfico de indivíduos encaminhados para tratamento antirrábico, no total e segundo a conduta de tratamento utilizada. Feira de Santana, BA. 2008-2019.</w:t>
            <w:tab/>
            <w:t xml:space="preserve">54</w:t>
          </w:r>
          <w:r w:rsidDel="00000000" w:rsidR="00000000" w:rsidRPr="00000000">
            <w:fldChar w:fldCharType="end"/>
          </w: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2"/>
            </w:tabs>
            <w:spacing w:after="0" w:before="120" w:line="240" w:lineRule="auto"/>
            <w:ind w:left="992" w:right="0" w:hanging="992"/>
            <w:jc w:val="left"/>
            <w:rPr>
              <w:rFonts w:ascii="Calibri" w:cs="Calibri" w:eastAsia="Calibri" w:hAnsi="Calibri"/>
              <w:b w:val="0"/>
              <w:i w:val="0"/>
              <w:smallCaps w:val="0"/>
              <w:strike w:val="0"/>
              <w:color w:val="000000"/>
              <w:sz w:val="22"/>
              <w:szCs w:val="22"/>
              <w:u w:val="none"/>
              <w:shd w:fill="auto" w:val="clear"/>
              <w:vertAlign w:val="baseline"/>
            </w:rPr>
          </w:pPr>
          <w:hyperlink w:anchor="_heading=h.28h4qwu">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Tabela 3</w:t>
            </w:r>
          </w:hyperlink>
          <w:hyperlink w:anchor="_heading=h.28h4qw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_heading=h.28h4qwu \h </w:instrText>
            <w:fldChar w:fldCharType="separate"/>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Frequências absoluta (Fi) e relativa (fi) de indivíduos encaminhados para tratamento antirrábico, segundo a conduta indicada e tipo de espécie animal envolvido no agravo. Feira de Santana, BA. 2008 -2019.</w:t>
            <w:tab/>
            <w:t xml:space="preserve">55</w:t>
          </w:r>
          <w:r w:rsidDel="00000000" w:rsidR="00000000" w:rsidRPr="00000000">
            <w:fldChar w:fldCharType="end"/>
          </w: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2"/>
            </w:tabs>
            <w:spacing w:after="0" w:before="120" w:line="240" w:lineRule="auto"/>
            <w:ind w:left="992" w:right="0" w:hanging="992"/>
            <w:jc w:val="left"/>
            <w:rPr>
              <w:rFonts w:ascii="Calibri" w:cs="Calibri" w:eastAsia="Calibri" w:hAnsi="Calibri"/>
              <w:b w:val="0"/>
              <w:i w:val="0"/>
              <w:smallCaps w:val="0"/>
              <w:strike w:val="0"/>
              <w:color w:val="000000"/>
              <w:sz w:val="22"/>
              <w:szCs w:val="22"/>
              <w:u w:val="none"/>
              <w:shd w:fill="auto" w:val="clear"/>
              <w:vertAlign w:val="baseline"/>
            </w:rPr>
          </w:pPr>
          <w:hyperlink w:anchor="_heading=h.37m2jsg">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Tabela 4.</w:t>
            </w:r>
          </w:hyperlink>
          <w:hyperlink w:anchor="_heading=h.37m2js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_heading=h.37m2jsg \h </w:instrText>
            <w:fldChar w:fldCharType="separate"/>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Frequência absoluta (Fi), frequência relativa (fi) de indivíduos encaminhados para tratamento antirrábico, segundo conduta profilática indicada. Feira de Santana, Bahia. 2008-2019.</w:t>
            <w:tab/>
            <w:t xml:space="preserve">57</w:t>
          </w:r>
          <w:r w:rsidDel="00000000" w:rsidR="00000000" w:rsidRPr="00000000">
            <w:fldChar w:fldCharType="end"/>
          </w: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2"/>
            </w:tabs>
            <w:spacing w:after="0" w:before="120" w:line="240" w:lineRule="auto"/>
            <w:ind w:left="992" w:right="0" w:hanging="992"/>
            <w:jc w:val="left"/>
            <w:rPr>
              <w:rFonts w:ascii="Calibri" w:cs="Calibri" w:eastAsia="Calibri" w:hAnsi="Calibri"/>
              <w:b w:val="0"/>
              <w:i w:val="0"/>
              <w:smallCaps w:val="0"/>
              <w:strike w:val="0"/>
              <w:color w:val="000000"/>
              <w:sz w:val="22"/>
              <w:szCs w:val="22"/>
              <w:u w:val="none"/>
              <w:shd w:fill="auto" w:val="clear"/>
              <w:vertAlign w:val="baseline"/>
            </w:rPr>
          </w:pPr>
          <w:hyperlink w:anchor="_heading=h.46r0co2">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Tabela 5.</w:t>
            </w:r>
          </w:hyperlink>
          <w:hyperlink w:anchor="_heading=h.46r0co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_heading=h.46r0co2 \h </w:instrText>
            <w:fldChar w:fldCharType="separate"/>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Frequência absoluta (Fi), frequência relativa (fi), limite inferior (LI) e superior (LS) do intervalo de confiança 95% (IC95%) de indivíduos encaminhados para tratamento antirrábico, segundo a interrupção e abandono da conduta. Feira de Santana, BA. 2008 -2019.</w:t>
            <w:tab/>
            <w:t xml:space="preserve">60</w:t>
          </w:r>
          <w:r w:rsidDel="00000000" w:rsidR="00000000" w:rsidRPr="00000000">
            <w:fldChar w:fldCharType="end"/>
          </w: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2"/>
            </w:tabs>
            <w:spacing w:after="0" w:before="120" w:line="240" w:lineRule="auto"/>
            <w:ind w:left="992" w:right="0" w:hanging="992"/>
            <w:jc w:val="left"/>
            <w:rPr>
              <w:rFonts w:ascii="Calibri" w:cs="Calibri" w:eastAsia="Calibri" w:hAnsi="Calibri"/>
              <w:b w:val="0"/>
              <w:i w:val="0"/>
              <w:smallCaps w:val="0"/>
              <w:strike w:val="0"/>
              <w:color w:val="000000"/>
              <w:sz w:val="22"/>
              <w:szCs w:val="22"/>
              <w:u w:val="none"/>
              <w:shd w:fill="auto" w:val="clear"/>
              <w:vertAlign w:val="baseline"/>
            </w:rPr>
          </w:pPr>
          <w:hyperlink w:anchor="_heading=h.3q5sasy">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Tabela 6.</w:t>
            </w:r>
          </w:hyperlink>
          <w:hyperlink w:anchor="_heading=h.3q5sas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_heading=h.3q5sasy \h </w:instrText>
            <w:fldChar w:fldCharType="separate"/>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Pares de anos em comparação, coeficiente I de autocorrelação espacial diferencial de Moran e pseudo-valor de P calculado para 9999 permutações da frequência absoluta dos agravos a seres humanos, segundo o grupo de espécies. Feira de Santana, BA. 2008-2019.</w:t>
            <w:tab/>
            <w:t xml:space="preserve">77</w:t>
          </w:r>
          <w:r w:rsidDel="00000000" w:rsidR="00000000" w:rsidRPr="00000000">
            <w:fldChar w:fldCharType="end"/>
          </w: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2"/>
            </w:tabs>
            <w:spacing w:after="0" w:before="120" w:line="240" w:lineRule="auto"/>
            <w:ind w:left="992" w:right="0" w:hanging="992"/>
            <w:jc w:val="left"/>
            <w:rPr>
              <w:rFonts w:ascii="Calibri" w:cs="Calibri" w:eastAsia="Calibri" w:hAnsi="Calibri"/>
              <w:b w:val="0"/>
              <w:i w:val="0"/>
              <w:smallCaps w:val="0"/>
              <w:strike w:val="0"/>
              <w:color w:val="000000"/>
              <w:sz w:val="22"/>
              <w:szCs w:val="22"/>
              <w:u w:val="none"/>
              <w:shd w:fill="auto" w:val="clear"/>
              <w:vertAlign w:val="baseline"/>
            </w:rPr>
          </w:pPr>
          <w:hyperlink w:anchor="_heading=h.25b2l0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Tabela 7.</w:t>
            </w:r>
          </w:hyperlink>
          <w:hyperlink w:anchor="_heading=h.25b2l0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_heading=h.25b2l0r \h </w:instrText>
            <w:fldChar w:fldCharType="separate"/>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Avaliação do coeficiente I de autocorrelação espacial bivariada de Moran e pseudo-valor de P calculado para 9999 permutações da frequência absoluta dos agravos a seres humanos frente ao índice de desenvolvimento humano (IDH), segundo o ano e grupo de espécies. Feira de Santana, BA. 2008-2019.</w:t>
            <w:tab/>
            <w:t xml:space="preserve">77</w:t>
          </w:r>
          <w:r w:rsidDel="00000000" w:rsidR="00000000" w:rsidRPr="00000000">
            <w:fldChar w:fldCharType="end"/>
          </w: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2"/>
            </w:tabs>
            <w:spacing w:after="0" w:before="120" w:line="240" w:lineRule="auto"/>
            <w:ind w:left="992" w:right="0" w:hanging="992"/>
            <w:jc w:val="left"/>
            <w:rPr>
              <w:rFonts w:ascii="Calibri" w:cs="Calibri" w:eastAsia="Calibri" w:hAnsi="Calibri"/>
              <w:b w:val="0"/>
              <w:i w:val="0"/>
              <w:smallCaps w:val="0"/>
              <w:strike w:val="0"/>
              <w:color w:val="000000"/>
              <w:sz w:val="22"/>
              <w:szCs w:val="22"/>
              <w:u w:val="none"/>
              <w:shd w:fill="auto" w:val="clear"/>
              <w:vertAlign w:val="baseline"/>
            </w:rPr>
          </w:pPr>
          <w:hyperlink w:anchor="_heading=h.kgcv8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Tabela 8.</w:t>
            </w:r>
          </w:hyperlink>
          <w:hyperlink w:anchor="_heading=h.kgcv8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_heading=h.kgcv8k \h </w:instrText>
            <w:fldChar w:fldCharType="separate"/>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Avaliação do coeficiente I de autocorrelação espacial de Moran com padronização bayesiana para taxas e pseudo-valor de P calculado para 9999 permutações da frequência absoluta dos agravos a seres humanos frente ao índice de vulnerabilidade da saúde (IVS), segundo o ano e grupo de espécies. Feira de Santana, BA. 2008-2019.</w:t>
            <w:tab/>
            <w:t xml:space="preserve">77</w:t>
          </w:r>
          <w:r w:rsidDel="00000000" w:rsidR="00000000" w:rsidRPr="00000000">
            <w:fldChar w:fldCharType="end"/>
          </w: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2"/>
            </w:tabs>
            <w:spacing w:after="0" w:before="120" w:line="240" w:lineRule="auto"/>
            <w:ind w:left="992" w:right="0" w:hanging="992"/>
            <w:jc w:val="left"/>
            <w:rPr>
              <w:rFonts w:ascii="Calibri" w:cs="Calibri" w:eastAsia="Calibri" w:hAnsi="Calibri"/>
              <w:b w:val="0"/>
              <w:i w:val="0"/>
              <w:smallCaps w:val="0"/>
              <w:strike w:val="0"/>
              <w:color w:val="000000"/>
              <w:sz w:val="22"/>
              <w:szCs w:val="22"/>
              <w:u w:val="none"/>
              <w:shd w:fill="auto" w:val="clear"/>
              <w:vertAlign w:val="baseline"/>
            </w:rPr>
          </w:pPr>
          <w:hyperlink w:anchor="_heading=h.34g0dwd">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Tabela 9. </w:t>
            </w:r>
          </w:hyperlink>
          <w:hyperlink w:anchor="_heading=h.34g0dwd">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_heading=h.34g0dwd \h </w:instrText>
            <w:fldChar w:fldCharType="separate"/>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Frequência absoluta (Fi), frequência relativa (fi) e intervalo de confiança (IC95%) dos agravos a seres humanos segundo o tipo espécie agressora em Feira de Santana, BA, 2008-2019</w:t>
            <w:tab/>
            <w:t xml:space="preserve">78</w:t>
          </w:r>
          <w:r w:rsidDel="00000000" w:rsidR="00000000" w:rsidRPr="00000000">
            <w:fldChar w:fldCharType="end"/>
          </w: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2"/>
            </w:tabs>
            <w:spacing w:after="0" w:before="120" w:line="240" w:lineRule="auto"/>
            <w:ind w:left="992" w:right="0" w:hanging="992"/>
            <w:jc w:val="left"/>
            <w:rPr>
              <w:rFonts w:ascii="Calibri" w:cs="Calibri" w:eastAsia="Calibri" w:hAnsi="Calibri"/>
              <w:b w:val="0"/>
              <w:i w:val="0"/>
              <w:smallCaps w:val="0"/>
              <w:strike w:val="0"/>
              <w:color w:val="000000"/>
              <w:sz w:val="22"/>
              <w:szCs w:val="22"/>
              <w:u w:val="none"/>
              <w:shd w:fill="auto" w:val="clear"/>
              <w:vertAlign w:val="baseline"/>
            </w:rPr>
          </w:pPr>
          <w:hyperlink w:anchor="_heading=h.1jlao46">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Tabela 10.</w:t>
            </w:r>
          </w:hyperlink>
          <w:hyperlink w:anchor="_heading=h.1jlao4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_heading=h.1jlao46 \h </w:instrText>
            <w:fldChar w:fldCharType="separate"/>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Frequência absoluta (Fi), frequência relativa (fi)  dos agravos a seres humanos  segundo o tipo espécie agressora em Feira de Santana, BA, 2008-2019</w:t>
            <w:tab/>
            <w:t xml:space="preserve">79</w:t>
          </w:r>
          <w:r w:rsidDel="00000000" w:rsidR="00000000" w:rsidRPr="00000000">
            <w:fldChar w:fldCharType="end"/>
          </w: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2"/>
            </w:tabs>
            <w:spacing w:after="0" w:before="120" w:line="240" w:lineRule="auto"/>
            <w:ind w:left="992" w:right="0" w:hanging="992"/>
            <w:jc w:val="left"/>
            <w:rPr>
              <w:rFonts w:ascii="Calibri" w:cs="Calibri" w:eastAsia="Calibri" w:hAnsi="Calibri"/>
              <w:b w:val="0"/>
              <w:i w:val="0"/>
              <w:smallCaps w:val="0"/>
              <w:strike w:val="0"/>
              <w:color w:val="000000"/>
              <w:sz w:val="22"/>
              <w:szCs w:val="22"/>
              <w:u w:val="none"/>
              <w:shd w:fill="auto" w:val="clear"/>
              <w:vertAlign w:val="baseline"/>
            </w:rPr>
          </w:pPr>
          <w:hyperlink w:anchor="_heading=h.43ky6rz">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Tabela 11.</w:t>
            </w:r>
          </w:hyperlink>
          <w:hyperlink w:anchor="_heading=h.43ky6r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_heading=h.43ky6rz \h </w:instrText>
            <w:fldChar w:fldCharType="separate"/>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Frequência absoluta (Fi), frequência relativa (fi), frequência relativa acumulada (fia) e intervalo de confiança (IC95%) dos agravos a seres humanos segundo os bairros do Município de Feira de Santana, BA, 2008-2019</w:t>
            <w:tab/>
            <w:t xml:space="preserve">81</w:t>
          </w:r>
          <w:r w:rsidDel="00000000" w:rsidR="00000000" w:rsidRPr="00000000">
            <w:fldChar w:fldCharType="end"/>
          </w: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2"/>
            </w:tabs>
            <w:spacing w:after="0" w:before="120" w:line="240" w:lineRule="auto"/>
            <w:ind w:left="992" w:right="0" w:hanging="992"/>
            <w:jc w:val="left"/>
            <w:rPr>
              <w:rFonts w:ascii="Calibri" w:cs="Calibri" w:eastAsia="Calibri" w:hAnsi="Calibri"/>
              <w:b w:val="0"/>
              <w:i w:val="0"/>
              <w:smallCaps w:val="0"/>
              <w:strike w:val="0"/>
              <w:color w:val="000000"/>
              <w:sz w:val="22"/>
              <w:szCs w:val="22"/>
              <w:u w:val="none"/>
              <w:shd w:fill="auto" w:val="clear"/>
              <w:vertAlign w:val="baseline"/>
            </w:rPr>
          </w:pPr>
          <w:hyperlink w:anchor="_heading=h.2iq8gzs">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Tabela 12 </w:t>
            </w:r>
          </w:hyperlink>
          <w:hyperlink w:anchor="_heading=h.2iq8gz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_heading=h.2iq8gzs \h </w:instrText>
            <w:fldChar w:fldCharType="separate"/>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Frequência absoluta (Fi), frequência relativa (fi) de indivíduos encaminhados para tratamento antirrábico, segundo antecedentes epidemiológicos. Feira de Santana, Bahia. 2008-2019.</w:t>
            <w:tab/>
            <w:t xml:space="preserve">82</w:t>
          </w:r>
          <w:r w:rsidDel="00000000" w:rsidR="00000000" w:rsidRPr="00000000">
            <w:fldChar w:fldCharType="end"/>
          </w: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2"/>
            </w:tabs>
            <w:spacing w:after="0" w:before="120" w:line="240" w:lineRule="auto"/>
            <w:ind w:left="992" w:right="0" w:hanging="992"/>
            <w:jc w:val="left"/>
            <w:rPr>
              <w:rFonts w:ascii="Calibri" w:cs="Calibri" w:eastAsia="Calibri" w:hAnsi="Calibri"/>
              <w:b w:val="0"/>
              <w:i w:val="0"/>
              <w:smallCaps w:val="0"/>
              <w:strike w:val="0"/>
              <w:color w:val="000000"/>
              <w:sz w:val="22"/>
              <w:szCs w:val="22"/>
              <w:u w:val="none"/>
              <w:shd w:fill="auto" w:val="clear"/>
              <w:vertAlign w:val="baseline"/>
            </w:rPr>
          </w:pPr>
          <w:hyperlink w:anchor="_heading=h.39kk8xu">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Tabela 13 </w:t>
            </w:r>
          </w:hyperlink>
          <w:hyperlink w:anchor="_heading=h.39kk8x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_heading=h.39kk8xu \h </w:instrText>
            <w:fldChar w:fldCharType="separate"/>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Distribuição de frequências do tipo de tratamento indicado por ano no município de Feira de Santana, BA.</w:t>
            <w:tab/>
            <w:t xml:space="preserve">90</w:t>
          </w:r>
          <w:r w:rsidDel="00000000" w:rsidR="00000000" w:rsidRPr="00000000">
            <w:fldChar w:fldCharType="end"/>
          </w: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2"/>
            </w:tabs>
            <w:spacing w:after="0" w:before="120" w:line="240" w:lineRule="auto"/>
            <w:ind w:left="992" w:right="0" w:hanging="992"/>
            <w:jc w:val="left"/>
            <w:rPr>
              <w:rFonts w:ascii="Calibri" w:cs="Calibri" w:eastAsia="Calibri" w:hAnsi="Calibri"/>
              <w:b w:val="0"/>
              <w:i w:val="0"/>
              <w:smallCaps w:val="0"/>
              <w:strike w:val="0"/>
              <w:color w:val="000000"/>
              <w:sz w:val="22"/>
              <w:szCs w:val="22"/>
              <w:u w:val="none"/>
              <w:shd w:fill="auto" w:val="clear"/>
              <w:vertAlign w:val="baseline"/>
            </w:rPr>
          </w:pPr>
          <w:hyperlink w:anchor="_heading=h.1opuj5n">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Tabela 14.</w:t>
            </w:r>
          </w:hyperlink>
          <w:hyperlink w:anchor="_heading=h.1opuj5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_heading=h.1opuj5n \h </w:instrText>
            <w:fldChar w:fldCharType="separate"/>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Frequências absolutas e relativas do abandono de tratamentos antirrábico humanos segundo as variáveis epidemiológicas. Feira de Santana, BA. 2008-2019.</w:t>
            <w:tab/>
            <w:t xml:space="preserve">91</w:t>
          </w:r>
          <w:r w:rsidDel="00000000" w:rsidR="00000000" w:rsidRPr="00000000">
            <w:fldChar w:fldCharType="end"/>
          </w: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2"/>
            </w:tabs>
            <w:spacing w:after="0" w:before="120" w:line="240" w:lineRule="auto"/>
            <w:ind w:left="992" w:right="0" w:hanging="992"/>
            <w:jc w:val="left"/>
            <w:rPr>
              <w:rFonts w:ascii="Calibri" w:cs="Calibri" w:eastAsia="Calibri" w:hAnsi="Calibri"/>
              <w:b w:val="0"/>
              <w:i w:val="0"/>
              <w:smallCaps w:val="0"/>
              <w:strike w:val="0"/>
              <w:color w:val="000000"/>
              <w:sz w:val="22"/>
              <w:szCs w:val="22"/>
              <w:u w:val="none"/>
              <w:shd w:fill="auto" w:val="clear"/>
              <w:vertAlign w:val="baseline"/>
            </w:rPr>
          </w:pPr>
          <w:hyperlink w:anchor="_heading=h.48pi1tg">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Tabela 15.</w:t>
            </w:r>
          </w:hyperlink>
          <w:hyperlink w:anchor="_heading=h.48pi1t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_heading=h.48pi1tg \h </w:instrText>
            <w:fldChar w:fldCharType="separate"/>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Frequências absolutas e relativas das espécies envolvidas em agravos a seres humanos, segundo as características sociodemográficas dos indivíduos envolvidos. Feira de Santana, BA. 2008-2019.</w:t>
            <w:tab/>
            <w:t xml:space="preserve">92</w:t>
          </w:r>
          <w:r w:rsidDel="00000000" w:rsidR="00000000" w:rsidRPr="00000000">
            <w:fldChar w:fldCharType="end"/>
          </w: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2"/>
            </w:tabs>
            <w:spacing w:after="0" w:before="120" w:line="240" w:lineRule="auto"/>
            <w:ind w:left="992" w:right="0" w:hanging="992"/>
            <w:jc w:val="left"/>
            <w:rPr>
              <w:rFonts w:ascii="Times New Roman" w:cs="Times New Roman" w:eastAsia="Times New Roman" w:hAnsi="Times New Roman"/>
              <w:b w:val="0"/>
              <w:i w:val="0"/>
              <w:smallCaps w:val="0"/>
              <w:strike w:val="0"/>
              <w:color w:val="000000"/>
              <w:sz w:val="20"/>
              <w:szCs w:val="20"/>
              <w:highlight w:val="yellow"/>
              <w:u w:val="none"/>
              <w:vertAlign w:val="baseline"/>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5C">
      <w:pPr>
        <w:rPr>
          <w:rFonts w:ascii="Times New Roman" w:cs="Times New Roman" w:eastAsia="Times New Roman" w:hAnsi="Times New Roman"/>
          <w:sz w:val="24"/>
          <w:szCs w:val="24"/>
          <w:highlight w:val="yellow"/>
        </w:rPr>
      </w:pPr>
      <w:r w:rsidDel="00000000" w:rsidR="00000000" w:rsidRPr="00000000">
        <w:br w:type="page"/>
      </w: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Lista de figuras</w:t>
      </w:r>
    </w:p>
    <w:sdt>
      <w:sdtPr>
        <w:docPartObj>
          <w:docPartGallery w:val="Table of Contents"/>
          <w:docPartUnique w:val="1"/>
        </w:docPartObj>
      </w:sdtPr>
      <w:sdtContent>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2"/>
            </w:tabs>
            <w:spacing w:after="0" w:before="120" w:line="240" w:lineRule="auto"/>
            <w:ind w:left="992" w:right="0" w:hanging="992"/>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44sinio">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Figura 1. </w:t>
            </w:r>
          </w:hyperlink>
          <w:hyperlink w:anchor="_heading=h.44sini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_heading=h.44sinio \h </w:instrText>
            <w:fldChar w:fldCharType="separate"/>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Município de Feira de Santana e seus distritos, Bahia, Brasil.</w:t>
            <w:tab/>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2"/>
            </w:tabs>
            <w:spacing w:after="0" w:before="120" w:line="240" w:lineRule="auto"/>
            <w:ind w:left="992" w:right="0" w:hanging="992"/>
            <w:jc w:val="left"/>
            <w:rPr>
              <w:rFonts w:ascii="Calibri" w:cs="Calibri" w:eastAsia="Calibri" w:hAnsi="Calibri"/>
              <w:b w:val="0"/>
              <w:i w:val="0"/>
              <w:smallCaps w:val="0"/>
              <w:strike w:val="0"/>
              <w:color w:val="000000"/>
              <w:sz w:val="22"/>
              <w:szCs w:val="22"/>
              <w:u w:val="none"/>
              <w:shd w:fill="auto" w:val="clear"/>
              <w:vertAlign w:val="baseline"/>
            </w:rPr>
          </w:pPr>
          <w:hyperlink w:anchor="_heading=h.1ci93xb">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Figura 2.</w:t>
            </w:r>
          </w:hyperlink>
          <w:hyperlink w:anchor="_heading=h.1ci93x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_heading=h.1ci93xb \h </w:instrText>
            <w:fldChar w:fldCharType="separate"/>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Mapas de aglomerados (A e B) de autocorrelação espacial (coeficiente diferencial I de Moran) para os pares de anos 2013x2014 (A) e 2015x2016 (B) das frequências absolutas de agravos a humanos por carnívoros. Feira de Santana, BA. 2008 a 2019.</w:t>
            <w:tab/>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2"/>
            </w:tabs>
            <w:spacing w:after="0" w:before="120" w:line="240" w:lineRule="auto"/>
            <w:ind w:left="992" w:right="0" w:hanging="992"/>
            <w:jc w:val="left"/>
            <w:rPr>
              <w:rFonts w:ascii="Calibri" w:cs="Calibri" w:eastAsia="Calibri" w:hAnsi="Calibri"/>
              <w:b w:val="0"/>
              <w:i w:val="0"/>
              <w:smallCaps w:val="0"/>
              <w:strike w:val="0"/>
              <w:color w:val="000000"/>
              <w:sz w:val="22"/>
              <w:szCs w:val="22"/>
              <w:u w:val="none"/>
              <w:shd w:fill="auto" w:val="clear"/>
              <w:vertAlign w:val="baseline"/>
            </w:rPr>
          </w:pPr>
          <w:hyperlink w:anchor="_heading=h.3whwml4">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Figura 3..</w:t>
            </w:r>
          </w:hyperlink>
          <w:hyperlink w:anchor="_heading=h.3whwml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_heading=h.3whwml4 \h </w:instrText>
            <w:fldChar w:fldCharType="separate"/>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Mapas de aglomerados (A e B) de autocorrelação espacial (coeficiente diferencial I de Moran) para os pares de anos 2011x2012 (A) e 2012x2013 (B) das frequências absolutas de agravos a humanos por herbívoros. Feira de Santana, BA. 2008 a 2019.</w:t>
            <w:tab/>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2"/>
            </w:tabs>
            <w:spacing w:after="0" w:before="120" w:line="240" w:lineRule="auto"/>
            <w:ind w:left="992" w:right="0" w:hanging="992"/>
            <w:jc w:val="left"/>
            <w:rPr>
              <w:rFonts w:ascii="Calibri" w:cs="Calibri" w:eastAsia="Calibri" w:hAnsi="Calibri"/>
              <w:b w:val="0"/>
              <w:i w:val="0"/>
              <w:smallCaps w:val="0"/>
              <w:strike w:val="0"/>
              <w:color w:val="000000"/>
              <w:sz w:val="22"/>
              <w:szCs w:val="22"/>
              <w:u w:val="none"/>
              <w:shd w:fill="auto" w:val="clear"/>
              <w:vertAlign w:val="baseline"/>
            </w:rPr>
          </w:pPr>
          <w:hyperlink w:anchor="_heading=h.2bn6wsx">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Figura 4.</w:t>
            </w:r>
          </w:hyperlink>
          <w:hyperlink w:anchor="_heading=h.2bn6ws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_heading=h.2bn6wsx \h </w:instrText>
            <w:fldChar w:fldCharType="separate"/>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Mapas de aglomerados (A, B e C) de autocorrelação espacial (coeficiente diferencial I de Moran) para os pares de anos 2012x2013 (A), 2013x2014 (B) e 2015x2016 (C) das frequências absolutas de agravos a humanos por silvestres. Feira de Santana, BA. 2008 a 2019.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continua</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2"/>
            </w:tabs>
            <w:spacing w:after="0" w:before="120" w:line="240" w:lineRule="auto"/>
            <w:ind w:left="992" w:right="0" w:hanging="992"/>
            <w:jc w:val="left"/>
            <w:rPr>
              <w:rFonts w:ascii="Calibri" w:cs="Calibri" w:eastAsia="Calibri" w:hAnsi="Calibri"/>
              <w:b w:val="0"/>
              <w:i w:val="0"/>
              <w:smallCaps w:val="0"/>
              <w:strike w:val="0"/>
              <w:color w:val="000000"/>
              <w:sz w:val="22"/>
              <w:szCs w:val="22"/>
              <w:u w:val="none"/>
              <w:shd w:fill="auto" w:val="clear"/>
              <w:vertAlign w:val="baseline"/>
            </w:rPr>
          </w:pPr>
          <w:hyperlink w:anchor="_heading=h.3as4poj">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Figura 5.</w:t>
            </w:r>
          </w:hyperlink>
          <w:hyperlink w:anchor="_heading=h.3as4poj">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_heading=h.3as4poj \h </w:instrText>
            <w:fldChar w:fldCharType="separate"/>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Distribuição dos percentis do índice de desenvolvimento humano (IDH) para o município de Feira de Santana. 2022.</w:t>
            <w:tab/>
            <w:t xml:space="preserve">39</w:t>
          </w:r>
          <w:r w:rsidDel="00000000" w:rsidR="00000000" w:rsidRPr="00000000">
            <w:fldChar w:fldCharType="end"/>
          </w: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2"/>
            </w:tabs>
            <w:spacing w:after="0" w:before="120" w:line="240" w:lineRule="auto"/>
            <w:ind w:left="992" w:right="0" w:hanging="992"/>
            <w:jc w:val="left"/>
            <w:rPr>
              <w:rFonts w:ascii="Calibri" w:cs="Calibri" w:eastAsia="Calibri" w:hAnsi="Calibri"/>
              <w:b w:val="0"/>
              <w:i w:val="0"/>
              <w:smallCaps w:val="0"/>
              <w:strike w:val="0"/>
              <w:color w:val="000000"/>
              <w:sz w:val="22"/>
              <w:szCs w:val="22"/>
              <w:u w:val="none"/>
              <w:shd w:fill="auto" w:val="clear"/>
              <w:vertAlign w:val="baseline"/>
            </w:rPr>
          </w:pPr>
          <w:hyperlink w:anchor="_heading=h.1pxezwc">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Figura 6.</w:t>
            </w:r>
          </w:hyperlink>
          <w:hyperlink w:anchor="_heading=h.1pxezw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_heading=h.1pxezwc \h </w:instrText>
            <w:fldChar w:fldCharType="separate"/>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Mapas de aglomerados (A e B) de autocorrelação espacial bivariado para o período de 2008 a 2019 para herbívoros (A ) e silvestres e sinantrópicos (B) das frequências absolutas de agravos a humanos e o índice de desenvolvimento humano (IDH). Feira de Santana, BA. 2008 a 2019.</w:t>
            <w:tab/>
            <w:t xml:space="preserve">40</w:t>
          </w:r>
          <w:r w:rsidDel="00000000" w:rsidR="00000000" w:rsidRPr="00000000">
            <w:fldChar w:fldCharType="end"/>
          </w: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2"/>
            </w:tabs>
            <w:spacing w:after="0" w:before="120" w:line="240" w:lineRule="auto"/>
            <w:ind w:left="992" w:right="0" w:hanging="992"/>
            <w:jc w:val="left"/>
            <w:rPr>
              <w:rFonts w:ascii="Calibri" w:cs="Calibri" w:eastAsia="Calibri" w:hAnsi="Calibri"/>
              <w:b w:val="0"/>
              <w:i w:val="0"/>
              <w:smallCaps w:val="0"/>
              <w:strike w:val="0"/>
              <w:color w:val="000000"/>
              <w:sz w:val="22"/>
              <w:szCs w:val="22"/>
              <w:u w:val="none"/>
              <w:shd w:fill="auto" w:val="clear"/>
              <w:vertAlign w:val="baseline"/>
            </w:rPr>
          </w:pPr>
          <w:hyperlink w:anchor="_heading=h.49x2ik5">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Figura 7.</w:t>
            </w:r>
          </w:hyperlink>
          <w:hyperlink w:anchor="_heading=h.49x2ik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_heading=h.49x2ik5 \h </w:instrText>
            <w:fldChar w:fldCharType="separate"/>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Distribuição dos percentis do índice de desigualdade da saúde (IVS) para o município de Feira de Santana. 2022.</w:t>
            <w:tab/>
            <w:t xml:space="preserve">41</w:t>
          </w:r>
          <w:r w:rsidDel="00000000" w:rsidR="00000000" w:rsidRPr="00000000">
            <w:fldChar w:fldCharType="end"/>
          </w: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2"/>
            </w:tabs>
            <w:spacing w:after="0" w:before="120" w:line="240" w:lineRule="auto"/>
            <w:ind w:left="992" w:right="0" w:hanging="992"/>
            <w:jc w:val="left"/>
            <w:rPr>
              <w:rFonts w:ascii="Calibri" w:cs="Calibri" w:eastAsia="Calibri" w:hAnsi="Calibri"/>
              <w:b w:val="0"/>
              <w:i w:val="0"/>
              <w:smallCaps w:val="0"/>
              <w:strike w:val="0"/>
              <w:color w:val="000000"/>
              <w:sz w:val="22"/>
              <w:szCs w:val="22"/>
              <w:u w:val="none"/>
              <w:shd w:fill="auto" w:val="clear"/>
              <w:vertAlign w:val="baseline"/>
            </w:rPr>
          </w:pPr>
          <w:hyperlink w:anchor="_heading=h.2p2csry">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Figura 8.</w:t>
            </w:r>
          </w:hyperlink>
          <w:hyperlink w:anchor="_heading=h.2p2csr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_heading=h.2p2csry \h </w:instrText>
            <w:fldChar w:fldCharType="separate"/>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Mapas de aglomerados (A e B) de autocorrelação espacial bivariado para o período de 2008 a 2019 para carnívoros (A) e silvestres e sinantrópicos (B) das frequências absolutas de agravos a humanos e o índice de vulnerabilidade da saúde (IVS). Feira de Santana, BA. 2008 a 2019.</w:t>
            <w:tab/>
            <w:t xml:space="preserve">42</w:t>
          </w:r>
          <w:r w:rsidDel="00000000" w:rsidR="00000000" w:rsidRPr="00000000">
            <w:fldChar w:fldCharType="end"/>
          </w: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2"/>
            </w:tabs>
            <w:spacing w:after="0" w:before="120" w:line="240" w:lineRule="auto"/>
            <w:ind w:left="992" w:right="0" w:hanging="992"/>
            <w:jc w:val="left"/>
            <w:rPr>
              <w:rFonts w:ascii="Calibri" w:cs="Calibri" w:eastAsia="Calibri" w:hAnsi="Calibri"/>
              <w:b w:val="0"/>
              <w:i w:val="0"/>
              <w:smallCaps w:val="0"/>
              <w:strike w:val="0"/>
              <w:color w:val="000000"/>
              <w:sz w:val="22"/>
              <w:szCs w:val="22"/>
              <w:u w:val="none"/>
              <w:shd w:fill="auto" w:val="clear"/>
              <w:vertAlign w:val="baseline"/>
            </w:rPr>
          </w:pPr>
          <w:hyperlink w:anchor="_heading=h.vx1227">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Figura 9. </w:t>
            </w:r>
          </w:hyperlink>
          <w:hyperlink w:anchor="_heading=h.vx122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_heading=h.vx1227 \h </w:instrText>
            <w:fldChar w:fldCharType="separate"/>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Município de Feira de Santana e seus distritos, Bahia, Brasil.</w:t>
            <w:tab/>
            <w:t xml:space="preserve">49</w:t>
          </w:r>
          <w:r w:rsidDel="00000000" w:rsidR="00000000" w:rsidRPr="00000000">
            <w:fldChar w:fldCharType="end"/>
          </w: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2"/>
            </w:tabs>
            <w:spacing w:after="0" w:before="120" w:line="240" w:lineRule="auto"/>
            <w:ind w:left="992" w:right="0" w:hanging="992"/>
            <w:jc w:val="left"/>
            <w:rPr>
              <w:rFonts w:ascii="Calibri" w:cs="Calibri" w:eastAsia="Calibri" w:hAnsi="Calibri"/>
              <w:b w:val="0"/>
              <w:i w:val="0"/>
              <w:smallCaps w:val="0"/>
              <w:strike w:val="0"/>
              <w:color w:val="000000"/>
              <w:sz w:val="22"/>
              <w:szCs w:val="22"/>
              <w:u w:val="none"/>
              <w:shd w:fill="auto" w:val="clear"/>
              <w:vertAlign w:val="baseline"/>
            </w:rPr>
          </w:pPr>
          <w:hyperlink w:anchor="_heading=h.nmf14n">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Figura 10.</w:t>
            </w:r>
          </w:hyperlink>
          <w:hyperlink w:anchor="_heading=h.nmf14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_heading=h.nmf14n \h </w:instrText>
            <w:fldChar w:fldCharType="separate"/>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Classificação de 24.323 indicações de tratamentos a agravos a humanos por animais notificados em Feira de Santana, BA. 2008-2019.</w:t>
            <w:tab/>
            <w:t xml:space="preserve">56</w:t>
          </w:r>
          <w:r w:rsidDel="00000000" w:rsidR="00000000" w:rsidRPr="00000000">
            <w:fldChar w:fldCharType="end"/>
          </w: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2"/>
            </w:tabs>
            <w:spacing w:after="0" w:before="120" w:line="240" w:lineRule="auto"/>
            <w:ind w:left="992" w:right="0" w:hanging="992"/>
            <w:jc w:val="left"/>
            <w:rPr>
              <w:rFonts w:ascii="Calibri" w:cs="Calibri" w:eastAsia="Calibri" w:hAnsi="Calibri"/>
              <w:b w:val="0"/>
              <w:i w:val="0"/>
              <w:smallCaps w:val="0"/>
              <w:strike w:val="0"/>
              <w:color w:val="000000"/>
              <w:sz w:val="22"/>
              <w:szCs w:val="22"/>
              <w:u w:val="none"/>
              <w:shd w:fill="auto" w:val="clear"/>
              <w:vertAlign w:val="baseline"/>
            </w:rPr>
          </w:pPr>
          <w:hyperlink w:anchor="_heading=h.3ygebqi">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Figura 11.</w:t>
            </w:r>
          </w:hyperlink>
          <w:hyperlink w:anchor="_heading=h.3ygebq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_heading=h.3ygebqi \h </w:instrText>
            <w:fldChar w:fldCharType="separate"/>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Frequência absoluta (Fi) dos agravos a seres humanos por cães e gatos, por ano de notificação. Feira de Santana, BA. 2008-2019.</w:t>
            <w:tab/>
            <w:t xml:space="preserve">73</w:t>
          </w:r>
          <w:r w:rsidDel="00000000" w:rsidR="00000000" w:rsidRPr="00000000">
            <w:fldChar w:fldCharType="end"/>
          </w: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2"/>
            </w:tabs>
            <w:spacing w:after="0" w:before="120" w:line="240" w:lineRule="auto"/>
            <w:ind w:left="992" w:right="0" w:hanging="992"/>
            <w:jc w:val="left"/>
            <w:rPr>
              <w:rFonts w:ascii="Calibri" w:cs="Calibri" w:eastAsia="Calibri" w:hAnsi="Calibri"/>
              <w:b w:val="0"/>
              <w:i w:val="0"/>
              <w:smallCaps w:val="0"/>
              <w:strike w:val="0"/>
              <w:color w:val="000000"/>
              <w:sz w:val="22"/>
              <w:szCs w:val="22"/>
              <w:u w:val="none"/>
              <w:shd w:fill="auto" w:val="clear"/>
              <w:vertAlign w:val="baseline"/>
            </w:rPr>
          </w:pPr>
          <w:hyperlink w:anchor="_heading=h.2dlolyb">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Figura 12.</w:t>
            </w:r>
          </w:hyperlink>
          <w:hyperlink w:anchor="_heading=h.2dloly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_heading=h.2dlolyb \h </w:instrText>
            <w:fldChar w:fldCharType="separate"/>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Frequência absoluta (Fi) dos agravos a seres humanos por herbívoros, silvestres e sinantrópicos, por ano de notificação. Feira de Santana, BA. 2008-2019.</w:t>
            <w:tab/>
            <w:t xml:space="preserve">73</w:t>
          </w:r>
          <w:r w:rsidDel="00000000" w:rsidR="00000000" w:rsidRPr="00000000">
            <w:fldChar w:fldCharType="end"/>
          </w: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2"/>
            </w:tabs>
            <w:spacing w:after="0" w:before="120" w:line="240" w:lineRule="auto"/>
            <w:ind w:left="992" w:right="0" w:hanging="992"/>
            <w:jc w:val="left"/>
            <w:rPr>
              <w:rFonts w:ascii="Calibri" w:cs="Calibri" w:eastAsia="Calibri" w:hAnsi="Calibri"/>
              <w:b w:val="0"/>
              <w:i w:val="0"/>
              <w:smallCaps w:val="0"/>
              <w:strike w:val="0"/>
              <w:color w:val="000000"/>
              <w:sz w:val="22"/>
              <w:szCs w:val="22"/>
              <w:u w:val="none"/>
              <w:shd w:fill="auto" w:val="clear"/>
              <w:vertAlign w:val="baseline"/>
            </w:rPr>
          </w:pPr>
          <w:hyperlink w:anchor="_heading=h.sqyw64">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Figura 13.</w:t>
            </w:r>
          </w:hyperlink>
          <w:hyperlink w:anchor="_heading=h.sqyw6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_heading=h.sqyw64 \h </w:instrText>
            <w:fldChar w:fldCharType="separate"/>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Mapas de significância (A e B) de autocorrelação espacial (coeficiente diferencial I de Moran) para os pares de anos 2013x2014 (A) e 2015x2016 (B) das frequências absolutas de agravos a humanos por carnívoros. Feira de Santana, BA. 2008 a 2019.</w:t>
            <w:tab/>
            <w:t xml:space="preserve">74</w:t>
          </w:r>
          <w:r w:rsidDel="00000000" w:rsidR="00000000" w:rsidRPr="00000000">
            <w:fldChar w:fldCharType="end"/>
          </w: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2"/>
            </w:tabs>
            <w:spacing w:after="0" w:before="120" w:line="240" w:lineRule="auto"/>
            <w:ind w:left="992" w:right="0" w:hanging="992"/>
            <w:jc w:val="left"/>
            <w:rPr>
              <w:rFonts w:ascii="Calibri" w:cs="Calibri" w:eastAsia="Calibri" w:hAnsi="Calibri"/>
              <w:b w:val="0"/>
              <w:i w:val="0"/>
              <w:smallCaps w:val="0"/>
              <w:strike w:val="0"/>
              <w:color w:val="000000"/>
              <w:sz w:val="22"/>
              <w:szCs w:val="22"/>
              <w:u w:val="none"/>
              <w:shd w:fill="auto" w:val="clear"/>
              <w:vertAlign w:val="baseline"/>
            </w:rPr>
          </w:pPr>
          <w:hyperlink w:anchor="_heading=h.3cqmetx">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Figura 14.</w:t>
            </w:r>
          </w:hyperlink>
          <w:hyperlink w:anchor="_heading=h.3cqmet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_heading=h.3cqmetx \h </w:instrText>
            <w:fldChar w:fldCharType="separate"/>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Mapas de significância (A e B) de autocorrelação espacial (coeficiente diferencial I de Moran) para os pares de anos 2011x2012 (A ) e 2012x2013 (B ) das frequências absolutas de agravos a humanos por herbívoros. Feira de Santana, BA. 2008 a 2019.</w:t>
            <w:tab/>
            <w:t xml:space="preserve">74</w:t>
          </w:r>
          <w:r w:rsidDel="00000000" w:rsidR="00000000" w:rsidRPr="00000000">
            <w:fldChar w:fldCharType="end"/>
          </w: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2"/>
            </w:tabs>
            <w:spacing w:after="0" w:before="120" w:line="240" w:lineRule="auto"/>
            <w:ind w:left="992" w:right="0" w:hanging="992"/>
            <w:jc w:val="left"/>
            <w:rPr>
              <w:rFonts w:ascii="Calibri" w:cs="Calibri" w:eastAsia="Calibri" w:hAnsi="Calibri"/>
              <w:b w:val="0"/>
              <w:i w:val="0"/>
              <w:smallCaps w:val="0"/>
              <w:strike w:val="0"/>
              <w:color w:val="000000"/>
              <w:sz w:val="22"/>
              <w:szCs w:val="22"/>
              <w:u w:val="none"/>
              <w:shd w:fill="auto" w:val="clear"/>
              <w:vertAlign w:val="baseline"/>
            </w:rPr>
          </w:pPr>
          <w:hyperlink w:anchor="_heading=h.1rvwp1q">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Figura 15.</w:t>
            </w:r>
          </w:hyperlink>
          <w:hyperlink w:anchor="_heading=h.1rvwp1q">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_heading=h.1rvwp1q \h </w:instrText>
            <w:fldChar w:fldCharType="separate"/>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Mapas de significância (A, B e C) de autocorrelação espacial (coeficiente diferencial I de Moran) para os pares de anos 2012x2013 (A), 2013x2014 (B) e 2015x2016 (C) das frequências absolutas de agravos a humanos por silvestres. Feira de Santana, BA. 2008 a 2019.</w:t>
            <w:tab/>
            <w:t xml:space="preserve">75</w:t>
          </w:r>
          <w:r w:rsidDel="00000000" w:rsidR="00000000" w:rsidRPr="00000000">
            <w:fldChar w:fldCharType="end"/>
          </w: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2"/>
            </w:tabs>
            <w:spacing w:after="0" w:before="120" w:line="240" w:lineRule="auto"/>
            <w:ind w:left="992" w:right="0" w:hanging="992"/>
            <w:jc w:val="left"/>
            <w:rPr>
              <w:rFonts w:ascii="Calibri" w:cs="Calibri" w:eastAsia="Calibri" w:hAnsi="Calibri"/>
              <w:b w:val="0"/>
              <w:i w:val="0"/>
              <w:smallCaps w:val="0"/>
              <w:strike w:val="0"/>
              <w:color w:val="000000"/>
              <w:sz w:val="22"/>
              <w:szCs w:val="22"/>
              <w:u w:val="none"/>
              <w:shd w:fill="auto" w:val="clear"/>
              <w:vertAlign w:val="baseline"/>
            </w:rPr>
          </w:pPr>
          <w:hyperlink w:anchor="_heading=h.4bvk7pj">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Figura 16.</w:t>
            </w:r>
          </w:hyperlink>
          <w:hyperlink w:anchor="_heading=h.4bvk7pj">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_heading=h.4bvk7pj \h </w:instrText>
            <w:fldChar w:fldCharType="separate"/>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Mapas de significância (A e B) de autocorrelação espacial bivariado para o período de 2008 a 2019 para herbívoros (A) e silvestres e sinantrópicos (B) das frequências absolutas de agravos a humanos e o índice de desenvolvimento humano (IDH). Feira de Santana, BA. 2008 a 2019.</w:t>
            <w:tab/>
            <w:t xml:space="preserve">75</w:t>
          </w:r>
          <w:r w:rsidDel="00000000" w:rsidR="00000000" w:rsidRPr="00000000">
            <w:fldChar w:fldCharType="end"/>
          </w: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2"/>
            </w:tabs>
            <w:spacing w:after="0" w:before="120" w:line="240" w:lineRule="auto"/>
            <w:ind w:left="992" w:right="0" w:hanging="992"/>
            <w:jc w:val="left"/>
            <w:rPr>
              <w:rFonts w:ascii="Calibri" w:cs="Calibri" w:eastAsia="Calibri" w:hAnsi="Calibri"/>
              <w:b w:val="0"/>
              <w:i w:val="0"/>
              <w:smallCaps w:val="0"/>
              <w:strike w:val="0"/>
              <w:color w:val="000000"/>
              <w:sz w:val="22"/>
              <w:szCs w:val="22"/>
              <w:u w:val="none"/>
              <w:shd w:fill="auto" w:val="clear"/>
              <w:vertAlign w:val="baseline"/>
            </w:rPr>
          </w:pPr>
          <w:hyperlink w:anchor="_heading=h.2r0uhxc">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Figura 17.</w:t>
            </w:r>
          </w:hyperlink>
          <w:hyperlink w:anchor="_heading=h.2r0uhx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_heading=h.2r0uhxc \h </w:instrText>
            <w:fldChar w:fldCharType="separate"/>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Mapas de significância (A e B) de autocorrelação espacial bivariado para o período de 2008 a 2019 para carnívoros (A) e silvestres e sinantrópicos (B) das frequências absolutas de agravos a humanos e o índice de vulnerabilidade da saúde (IVS). Feira de Santana, BA. 2008 a 2019.</w:t>
            <w:tab/>
            <w:t xml:space="preserve">76</w:t>
          </w:r>
          <w:r w:rsidDel="00000000" w:rsidR="00000000" w:rsidRPr="00000000">
            <w:fldChar w:fldCharType="end"/>
          </w: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2"/>
            </w:tabs>
            <w:spacing w:after="0" w:before="120" w:line="240" w:lineRule="auto"/>
            <w:ind w:left="992" w:right="0" w:hanging="992"/>
            <w:jc w:val="left"/>
            <w:rPr>
              <w:rFonts w:ascii="Calibri" w:cs="Calibri" w:eastAsia="Calibri" w:hAnsi="Calibri"/>
              <w:b w:val="0"/>
              <w:i w:val="0"/>
              <w:smallCaps w:val="0"/>
              <w:strike w:val="0"/>
              <w:color w:val="000000"/>
              <w:sz w:val="22"/>
              <w:szCs w:val="22"/>
              <w:u w:val="none"/>
              <w:shd w:fill="auto" w:val="clear"/>
              <w:vertAlign w:val="baseline"/>
            </w:rPr>
          </w:pPr>
          <w:hyperlink w:anchor="_heading=h.3hv69ve">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Figura 18.</w:t>
            </w:r>
          </w:hyperlink>
          <w:hyperlink w:anchor="_heading=h.3hv69v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_heading=h.3hv69ve \h </w:instrText>
            <w:fldChar w:fldCharType="separate"/>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Agravos por carnívoros a humanos no município de Feira de Santana – BA segundo os bairros e anos, no período de 2008 a 2019.</w:t>
            <w:tab/>
            <w:t xml:space="preserve">83</w:t>
          </w:r>
          <w:r w:rsidDel="00000000" w:rsidR="00000000" w:rsidRPr="00000000">
            <w:fldChar w:fldCharType="end"/>
          </w: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2"/>
            </w:tabs>
            <w:spacing w:after="0" w:before="120" w:line="240" w:lineRule="auto"/>
            <w:ind w:left="992" w:right="0" w:hanging="992"/>
            <w:jc w:val="left"/>
            <w:rPr>
              <w:rFonts w:ascii="Calibri" w:cs="Calibri" w:eastAsia="Calibri" w:hAnsi="Calibri"/>
              <w:b w:val="0"/>
              <w:i w:val="0"/>
              <w:smallCaps w:val="0"/>
              <w:strike w:val="0"/>
              <w:color w:val="000000"/>
              <w:sz w:val="22"/>
              <w:szCs w:val="22"/>
              <w:u w:val="none"/>
              <w:shd w:fill="auto" w:val="clear"/>
              <w:vertAlign w:val="baseline"/>
            </w:rPr>
          </w:pPr>
          <w:hyperlink w:anchor="_heading=h.1x0gk37">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Figura 19.</w:t>
            </w:r>
          </w:hyperlink>
          <w:hyperlink w:anchor="_heading=h.1x0gk3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_heading=h.1x0gk37 \h </w:instrText>
            <w:fldChar w:fldCharType="separate"/>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Agravos por herbívoros a humanos no município de Feira de Santana – BA segundo os bairros e anos, no período de 2008 a 2019.</w:t>
            <w:tab/>
            <w:t xml:space="preserve">84</w:t>
          </w:r>
          <w:r w:rsidDel="00000000" w:rsidR="00000000" w:rsidRPr="00000000">
            <w:fldChar w:fldCharType="end"/>
          </w: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2"/>
            </w:tabs>
            <w:spacing w:after="0" w:before="120" w:line="240" w:lineRule="auto"/>
            <w:ind w:left="992" w:right="0" w:hanging="992"/>
            <w:jc w:val="left"/>
            <w:rPr>
              <w:rFonts w:ascii="Calibri" w:cs="Calibri" w:eastAsia="Calibri" w:hAnsi="Calibri"/>
              <w:b w:val="0"/>
              <w:i w:val="0"/>
              <w:smallCaps w:val="0"/>
              <w:strike w:val="0"/>
              <w:color w:val="000000"/>
              <w:sz w:val="22"/>
              <w:szCs w:val="22"/>
              <w:u w:val="none"/>
              <w:shd w:fill="auto" w:val="clear"/>
              <w:vertAlign w:val="baseline"/>
            </w:rPr>
          </w:pPr>
          <w:hyperlink w:anchor="_heading=h.4h042r0">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Figura 20.</w:t>
            </w:r>
          </w:hyperlink>
          <w:hyperlink w:anchor="_heading=h.4h042r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_heading=h.4h042r0 \h </w:instrText>
            <w:fldChar w:fldCharType="separate"/>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Agravos por animais sinantrópicos e selvagens a humanos no município de Feira de Santana – BA segundo os bairros e anos, no período de 2008 a 2019.</w:t>
            <w:tab/>
            <w:t xml:space="preserve">85</w:t>
          </w:r>
          <w:r w:rsidDel="00000000" w:rsidR="00000000" w:rsidRPr="00000000">
            <w:fldChar w:fldCharType="end"/>
          </w: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2"/>
            </w:tabs>
            <w:spacing w:after="0" w:before="120" w:line="240" w:lineRule="auto"/>
            <w:ind w:left="992" w:right="0" w:hanging="992"/>
            <w:jc w:val="left"/>
            <w:rPr>
              <w:rFonts w:ascii="Calibri" w:cs="Calibri" w:eastAsia="Calibri" w:hAnsi="Calibri"/>
              <w:b w:val="0"/>
              <w:i w:val="0"/>
              <w:smallCaps w:val="0"/>
              <w:strike w:val="0"/>
              <w:color w:val="000000"/>
              <w:sz w:val="22"/>
              <w:szCs w:val="22"/>
              <w:u w:val="none"/>
              <w:shd w:fill="auto" w:val="clear"/>
              <w:vertAlign w:val="baseline"/>
            </w:rPr>
          </w:pPr>
          <w:hyperlink w:anchor="_heading=h.1baon6m">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Figura 21.</w:t>
            </w:r>
          </w:hyperlink>
          <w:hyperlink w:anchor="_heading=h.1baon6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_heading=h.1baon6m \h </w:instrText>
            <w:fldChar w:fldCharType="separate"/>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Gráficos de dispersão para a autocorrelação espacial diferencial entre pares de anos da frequência absoluta de agravos a humanos por carnívoros. Feira de Santana, BA. 2008-2019.</w:t>
            <w:tab/>
            <w:t xml:space="preserve">87</w:t>
          </w:r>
          <w:r w:rsidDel="00000000" w:rsidR="00000000" w:rsidRPr="00000000">
            <w:fldChar w:fldCharType="end"/>
          </w: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2"/>
            </w:tabs>
            <w:spacing w:after="0" w:before="120" w:line="240" w:lineRule="auto"/>
            <w:ind w:left="992" w:right="0" w:hanging="992"/>
            <w:jc w:val="left"/>
            <w:rPr>
              <w:rFonts w:ascii="Calibri" w:cs="Calibri" w:eastAsia="Calibri" w:hAnsi="Calibri"/>
              <w:b w:val="0"/>
              <w:i w:val="0"/>
              <w:smallCaps w:val="0"/>
              <w:strike w:val="0"/>
              <w:color w:val="000000"/>
              <w:sz w:val="22"/>
              <w:szCs w:val="22"/>
              <w:u w:val="none"/>
              <w:shd w:fill="auto" w:val="clear"/>
              <w:vertAlign w:val="baseline"/>
            </w:rPr>
          </w:pPr>
          <w:hyperlink w:anchor="_heading=h.3vac5uf">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Figura 22.</w:t>
            </w:r>
          </w:hyperlink>
          <w:hyperlink w:anchor="_heading=h.3vac5u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_heading=h.3vac5uf \h </w:instrText>
            <w:fldChar w:fldCharType="separate"/>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Gráficos de dispersão para a autocorrelação espacial diferencial entre pares de anos da frequência absoluta de agravos a humanos por herbívoros. Feira de Santana, BA. 2008-2019.</w:t>
            <w:tab/>
            <w:t xml:space="preserve">88</w:t>
          </w:r>
          <w:r w:rsidDel="00000000" w:rsidR="00000000" w:rsidRPr="00000000">
            <w:fldChar w:fldCharType="end"/>
          </w: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2"/>
            </w:tabs>
            <w:spacing w:after="0" w:before="120" w:line="240" w:lineRule="auto"/>
            <w:ind w:left="992" w:right="0" w:hanging="992"/>
            <w:jc w:val="left"/>
            <w:rPr>
              <w:rFonts w:ascii="Calibri" w:cs="Calibri" w:eastAsia="Calibri" w:hAnsi="Calibri"/>
              <w:b w:val="0"/>
              <w:i w:val="0"/>
              <w:smallCaps w:val="0"/>
              <w:strike w:val="0"/>
              <w:color w:val="000000"/>
              <w:sz w:val="22"/>
              <w:szCs w:val="22"/>
              <w:u w:val="none"/>
              <w:shd w:fill="auto" w:val="clear"/>
              <w:vertAlign w:val="baseline"/>
            </w:rPr>
          </w:pPr>
          <w:hyperlink w:anchor="_heading=h.2afmg28">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Figura 23.</w:t>
            </w:r>
          </w:hyperlink>
          <w:hyperlink w:anchor="_heading=h.2afmg2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_heading=h.2afmg28 \h </w:instrText>
            <w:fldChar w:fldCharType="separate"/>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Gráficos de dispersão para a autocorrelação espacial diferencial entre pares de anos da frequência absoluta de agravos a humanos por silvestres e sinantrópicos. Feira de Santana, BA. 2008-2019.</w:t>
            <w:tab/>
            <w:t xml:space="preserve">89</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SUMÁRIO</w:t>
      </w:r>
    </w:p>
    <w:sdt>
      <w:sdtPr>
        <w:docPartObj>
          <w:docPartGallery w:val="Table of Contents"/>
          <w:docPartUnique w:val="1"/>
        </w:docPartObj>
      </w:sdtPr>
      <w:sdtContent>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4"/>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3znysh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INTRODUÇÃO</w:t>
              <w:tab/>
              <w:t xml:space="preserve">12</w:t>
            </w:r>
          </w:hyperlink>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4"/>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et92p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OBJETIVOS</w:t>
              <w:tab/>
              <w:t xml:space="preserve">15</w:t>
            </w:r>
          </w:hyperlink>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4"/>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tyjcwt">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Geral</w:t>
              <w:tab/>
              <w:t xml:space="preserve">15</w:t>
            </w:r>
          </w:hyperlink>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4"/>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dy6vkm">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Específicos</w:t>
              <w:tab/>
              <w:t xml:space="preserve">15</w:t>
            </w:r>
          </w:hyperlink>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4"/>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t3h5sf">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BASE CONCEITUAL</w:t>
              <w:tab/>
              <w:t xml:space="preserve">16</w:t>
            </w:r>
          </w:hyperlink>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4"/>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d34og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REFERÊNCIAS</w:t>
              <w:tab/>
              <w:t xml:space="preserve">21</w:t>
            </w:r>
          </w:hyperlink>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4"/>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s8eyo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CAPITULO 1: Distribuição espaço-temporal das espécies animais envolvidas em agravos a humanos em Feira de Santana</w:t>
              <w:tab/>
              <w:t xml:space="preserve">26</w:t>
            </w:r>
          </w:hyperlink>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4"/>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7dp8vu">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RESUMO</w:t>
              <w:tab/>
              <w:t xml:space="preserve">26</w:t>
            </w:r>
          </w:hyperlink>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4"/>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rdcrjn">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ABSTRAT</w:t>
              <w:tab/>
              <w:t xml:space="preserve">26</w:t>
            </w:r>
          </w:hyperlink>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4"/>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6in1rg">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INTRODUÇÃO</w:t>
              <w:tab/>
              <w:t xml:space="preserve">27</w:t>
            </w:r>
          </w:hyperlink>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4"/>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5nkun2">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METODOLOGIA</w:t>
              <w:tab/>
              <w:t xml:space="preserve">28</w:t>
            </w:r>
          </w:hyperlink>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4"/>
            </w:tabs>
            <w:spacing w:after="100" w:before="0" w:line="259"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ksv4uv">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Área de Estudo</w:t>
              <w:tab/>
              <w:t xml:space="preserve">29</w:t>
            </w:r>
          </w:hyperlink>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4"/>
            </w:tabs>
            <w:spacing w:after="100" w:before="0" w:line="259"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jxsxqh">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Banco de dados e variáveis</w:t>
              <w:tab/>
              <w:t xml:space="preserve">29</w:t>
            </w:r>
          </w:hyperlink>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4"/>
            </w:tabs>
            <w:spacing w:after="100" w:before="0" w:line="259"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z337ya">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Análise de dados</w:t>
              <w:tab/>
              <w:t xml:space="preserve">30</w:t>
            </w:r>
          </w:hyperlink>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4"/>
            </w:tabs>
            <w:spacing w:after="100" w:before="0" w:line="259"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j2qqm3">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Aspectos éticos</w:t>
              <w:tab/>
              <w:t xml:space="preserve">30</w:t>
            </w:r>
          </w:hyperlink>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4"/>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y810tw">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RESULTADOS E DISCUSSÃO</w:t>
              <w:tab/>
              <w:t xml:space="preserve">31</w:t>
            </w:r>
          </w:hyperlink>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4"/>
            </w:tabs>
            <w:spacing w:after="100" w:before="0" w:line="259"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i7ojhp">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Distribuição espaço-temporal das espécies animais envolvidas em agravos a humanos em Feira de Santana</w:t>
              <w:tab/>
              <w:t xml:space="preserve">31</w:t>
            </w:r>
          </w:hyperlink>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4"/>
            </w:tabs>
            <w:spacing w:after="100" w:before="0" w:line="259"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qsh70q">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Associação entre os índices de Desenvolvimento Humano (IDH) e de Vulnerabilidade da Saúde (IVS) e a distribuição dos agravos</w:t>
              <w:tab/>
              <w:t xml:space="preserve">38</w:t>
            </w:r>
          </w:hyperlink>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4"/>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47n2z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CONCLUSÃO</w:t>
              <w:tab/>
              <w:t xml:space="preserve">44</w:t>
            </w:r>
          </w:hyperlink>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4"/>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o7al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REFERÊNCIAS</w:t>
              <w:tab/>
              <w:t xml:space="preserve">44</w:t>
            </w:r>
          </w:hyperlink>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4"/>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3ckvvd">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CAPÍTULO 2: Atendimento antirrábico humano em Feira de Santana (2008-2019)</w:t>
              <w:tab/>
              <w:t xml:space="preserve">46</w:t>
            </w:r>
          </w:hyperlink>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4"/>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ihv636">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RESUMO</w:t>
              <w:tab/>
              <w:t xml:space="preserve">46</w:t>
            </w:r>
          </w:hyperlink>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4"/>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2hioqz">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ABSTRAT</w:t>
              <w:tab/>
              <w:t xml:space="preserve">46</w:t>
            </w:r>
          </w:hyperlink>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4"/>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hmsyys">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INTRODUÇÃO</w:t>
              <w:tab/>
              <w:t xml:space="preserve">47</w:t>
            </w:r>
          </w:hyperlink>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4"/>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1mghml">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METODOLOGIA</w:t>
              <w:tab/>
              <w:t xml:space="preserve">48</w:t>
            </w:r>
          </w:hyperlink>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4"/>
            </w:tabs>
            <w:spacing w:after="100" w:before="0" w:line="259"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grqrue">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Área de Estudo</w:t>
              <w:tab/>
              <w:t xml:space="preserve">49</w:t>
            </w:r>
          </w:hyperlink>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4"/>
            </w:tabs>
            <w:spacing w:after="100" w:before="0" w:line="259"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fwokq0">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Banco de dados e variáveis</w:t>
              <w:tab/>
              <w:t xml:space="preserve">49</w:t>
            </w:r>
          </w:hyperlink>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4"/>
            </w:tabs>
            <w:spacing w:after="100" w:before="0" w:line="259"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v1yuxt">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Análise de dados</w:t>
              <w:tab/>
              <w:t xml:space="preserve">50</w:t>
            </w:r>
          </w:hyperlink>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4"/>
            </w:tabs>
            <w:spacing w:after="100" w:before="0" w:line="259"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f1mdlm">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Aspectos éticos</w:t>
              <w:tab/>
              <w:t xml:space="preserve">51</w:t>
            </w:r>
          </w:hyperlink>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4"/>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u6wntf">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RESULTADOS E DISCUSSÃO</w:t>
              <w:tab/>
              <w:t xml:space="preserve">51</w:t>
            </w:r>
          </w:hyperlink>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4"/>
            </w:tabs>
            <w:spacing w:after="100" w:before="0" w:line="259"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9c6y18">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Atendimento antirrábico humano em Feira de Santana (2008-2019)</w:t>
              <w:tab/>
              <w:t xml:space="preserve">52</w:t>
            </w:r>
          </w:hyperlink>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4"/>
            </w:tabs>
            <w:spacing w:after="100" w:before="0" w:line="259"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mrcu09">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Interrupção do tratamento antirrábico humano em Feira de Santana (2008-2019)</w:t>
              <w:tab/>
              <w:t xml:space="preserve">60</w:t>
            </w:r>
          </w:hyperlink>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4"/>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lwamvv">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CONCLUSÃO</w:t>
            </w:r>
          </w:hyperlink>
          <w:hyperlink w:anchor="_heading=h.2lwamvv">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61</w:t>
            </w:r>
          </w:hyperlink>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4"/>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11kx3o">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REFERÊNCIAS</w:t>
            </w:r>
          </w:hyperlink>
          <w:hyperlink w:anchor="_heading=h.111kx3o">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62</w:t>
            </w:r>
          </w:hyperlink>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4"/>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06ipza">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ANEXO 1: </w:t>
            </w:r>
          </w:hyperlink>
          <w:hyperlink w:anchor="_heading=h.206ipza">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Ficha do Sistema de Informação de Agravos e Notificação</w:t>
              <w:tab/>
              <w:t xml:space="preserve">65</w:t>
            </w:r>
          </w:hyperlink>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4"/>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k668n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ANEXO 2: Autorização da Prefeitura Municipal de Feira de Santana</w:t>
              <w:tab/>
              <w:t xml:space="preserve">66</w:t>
            </w:r>
          </w:hyperlink>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4"/>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zbgiuw">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ANEXO 3: Parecer do Comitê de Ética em Pesquisa (CEP)</w:t>
              <w:tab/>
              <w:t xml:space="preserve">67</w:t>
            </w:r>
          </w:hyperlink>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4"/>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egqt2p">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APÊNDICE 1:  Figuras adicionais sobre a frequência de agravos a seres humanos</w:t>
              <w:tab/>
              <w:t xml:space="preserve">73</w:t>
            </w:r>
          </w:hyperlink>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4"/>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664s5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APÊNDICE 2: Tabelas adicionais sobre as frequências dos agravos a seres humanos</w:t>
              <w:tab/>
              <w:t xml:space="preserve">77</w:t>
            </w:r>
          </w:hyperlink>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4"/>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xvir7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APÊNDICE 3: Mapas da distribuição espacial dos agravos a humanos, segundo as espécies e anos</w:t>
              <w:tab/>
              <w:t xml:space="preserve">83</w:t>
            </w:r>
          </w:hyperlink>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4"/>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w5ecy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APÊNDICE 4: Gráficos de dispersão para a autocorrelação espacial das frequências absolutas de agravos</w:t>
              <w:tab/>
              <w:t xml:space="preserve">87</w:t>
            </w:r>
          </w:hyperlink>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4"/>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pkwqa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APÊNDICE 5: Tabelas adicionais sobre o tratamento antirrábico</w:t>
              <w:tab/>
              <w:t xml:space="preserve">90</w:t>
            </w:r>
          </w:hyperlink>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1134"/>
            <w:jc w:val="both"/>
            <w:rPr>
              <w:rFonts w:ascii="Times New Roman" w:cs="Times New Roman" w:eastAsia="Times New Roman" w:hAnsi="Times New Roman"/>
              <w:b w:val="0"/>
              <w:i w:val="0"/>
              <w:smallCaps w:val="0"/>
              <w:strike w:val="0"/>
              <w:color w:val="000000"/>
              <w:sz w:val="24"/>
              <w:szCs w:val="24"/>
              <w:highlight w:val="yellow"/>
              <w:u w:val="none"/>
              <w:vertAlign w:val="baseline"/>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A1">
      <w:pPr>
        <w:rPr>
          <w:rFonts w:ascii="Times New Roman" w:cs="Times New Roman" w:eastAsia="Times New Roman" w:hAnsi="Times New Roman"/>
          <w:b w:val="1"/>
          <w:sz w:val="24"/>
          <w:szCs w:val="24"/>
          <w:highlight w:val="yellow"/>
        </w:rPr>
        <w:sectPr>
          <w:type w:val="nextPage"/>
          <w:pgSz w:h="16838" w:w="11906" w:orient="portrait"/>
          <w:pgMar w:bottom="1417" w:top="1417" w:left="1701" w:right="1701" w:header="708" w:footer="708"/>
          <w:titlePg w:val="1"/>
        </w:sectPr>
      </w:pPr>
      <w:r w:rsidDel="00000000" w:rsidR="00000000" w:rsidRPr="00000000">
        <w:rPr>
          <w:rtl w:val="0"/>
        </w:rPr>
      </w:r>
    </w:p>
    <w:p w:rsidR="00000000" w:rsidDel="00000000" w:rsidP="00000000" w:rsidRDefault="00000000" w:rsidRPr="00000000" w14:paraId="000000A2">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RESUMO</w:t>
      </w:r>
    </w:p>
    <w:p w:rsidR="00000000" w:rsidDel="00000000" w:rsidP="00000000" w:rsidRDefault="00000000" w:rsidRPr="00000000" w14:paraId="000000A3">
      <w:pPr>
        <w:spacing w:line="360" w:lineRule="auto"/>
        <w:jc w:val="both"/>
        <w:rPr>
          <w:rFonts w:ascii="Times New Roman" w:cs="Times New Roman" w:eastAsia="Times New Roman" w:hAnsi="Times New Roman"/>
        </w:rPr>
      </w:pPr>
      <w:bookmarkStart w:colFirst="0" w:colLast="0" w:name="_heading=h.1fob9te" w:id="2"/>
      <w:bookmarkEnd w:id="2"/>
      <w:r w:rsidDel="00000000" w:rsidR="00000000" w:rsidRPr="00000000">
        <w:rPr>
          <w:rFonts w:ascii="Times New Roman" w:cs="Times New Roman" w:eastAsia="Times New Roman" w:hAnsi="Times New Roman"/>
          <w:rtl w:val="0"/>
        </w:rPr>
        <w:t xml:space="preserve">Animais domésticos como cães e gatos, e espécies selvagens, incluindo morcegos, primatas e raposas, podem acometer ao homem arranhões e mordeduras, favorecendo a transmissão de zoonoses, causando assim traumas como ferimentos leves ou graves, mutilações e óbito.  Entre estas enfermidades destaca-se a raiva, enfermidade viral aguda de alta letalidade nos animais e no homem.  O objetivo deste trabalho foi investigar os fatores epidemiológicos e socioeconômicos associados aos agravos a humanos causados por animais, no período de 2008 a 2019, no município de Feira de Santana, Bahia, e caracterizar o tratamento antirrábico humano. Dados da localização espacial dos bairros foram associados ao agravo por grupo de espécies, e dados referentes ao Índice de Desenvolvimento Humano (IDH) e ao Índice não ponderado de Vulnerabilidade da Saúde (IVS) foram obtidos a partir do Censo 2010, sendo calculados para cada bairro. Os atendimentos antirrábicos humanos segundo a conduta profilática foram associados as características epidemiológicas e sociodemográficas da população humana sob agravo.  No período estudado foram registradas 25591 notificações. Houve mais agressões por animais carnívoros 4.950 (97,66%), e o cão foi a espécie mais frequentemente envolvida, representando 82,69% das notificações. Alguns agregados espaciais foram associados aos índices IDH e IVS, mas não se estabeleceu uma distribuição regular dos mesmos. O perfil sociodemográfico dos atendimentos pós-exposição caracterizou-se em faixa etária de 20 a 39 anos de idade, sexo masculino, pardos, com ensino fundamental incompleto e moradores da zona urbana. Dos agravos notificados, 75,86% não receberam tratamento. Entre os que receberam tratamento, a vacina foi a mais indicada.  O esquema de pré-exposição foi notificado em 22,94% dos casos. O maior tipo de exposição foi a mordedura representou 94,58% de notificações, e a localização dos ferimentos nos membros inferiores com 51,62%, seguido pelas lesões nas mãos e pés em 28,13%. Sobre o tratamento indicado entre as exposições por contato indireto tiverem conduta profilática considerada como inadequada (excessivos). E aquelas exposições por acidentes leves com animais domésticos e envolvendo animais silvestres foram consideradas adequadas, porém existiram algumas inadequações que foram considerados insuficientes nas condutas profiláticas como, os acidentes graves envolvendo animais domésticos: suspeitos de raiva e raivosos, desaparecidos e mortos. Aqueles que interromperam qualquer tipo de tratamento indicado totalizaram 131 (2,38%) notificações, sendo que em 85 (64,89%) dos casos o motivo foi o abandono, havendo busca ativa pela unidade de saúde em 74 (92,50%) destes casos.  Não houve associação entre variáveis epidemiológicas e a interrupção do tratamento por abandono.</w:t>
      </w:r>
    </w:p>
    <w:p w:rsidR="00000000" w:rsidDel="00000000" w:rsidP="00000000" w:rsidRDefault="00000000" w:rsidRPr="00000000" w14:paraId="000000A4">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Palavras-chave:</w:t>
      </w:r>
      <w:r w:rsidDel="00000000" w:rsidR="00000000" w:rsidRPr="00000000">
        <w:rPr>
          <w:rFonts w:ascii="Times New Roman" w:cs="Times New Roman" w:eastAsia="Times New Roman" w:hAnsi="Times New Roman"/>
          <w:rtl w:val="0"/>
        </w:rPr>
        <w:t xml:space="preserve"> Raiva; profilaxia; índice de vulnerabilidade da saúde; índice de desenvolvimento humano; raiva; profilaxia.</w:t>
      </w:r>
    </w:p>
    <w:p w:rsidR="00000000" w:rsidDel="00000000" w:rsidP="00000000" w:rsidRDefault="00000000" w:rsidRPr="00000000" w14:paraId="000000A5">
      <w:pPr>
        <w:spacing w:line="360" w:lineRule="auto"/>
        <w:rPr>
          <w:rFonts w:ascii="Times New Roman" w:cs="Times New Roman" w:eastAsia="Times New Roman" w:hAnsi="Times New Roman"/>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A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ABSTRACT</w:t>
      </w:r>
    </w:p>
    <w:p w:rsidR="00000000" w:rsidDel="00000000" w:rsidP="00000000" w:rsidRDefault="00000000" w:rsidRPr="00000000" w14:paraId="000000A7">
      <w:pPr>
        <w:spacing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Domestic animals such as dogs and cats, and wild species, including bats, primates and foxes, can inflict scratches and bites on humans, favoring the transmission of zoonoses, thus causing trauma such as minor or serious injuries, mutilation and death. Among these diseases, rabies stands out, an acute viral disease with high lethality in animals and humans. The objective of this work was to investigate the epidemiological and socioeconomic factors associated with injuries to humans caused by animals, from 2008 to 2019, in the municipality of Feira de Santana, Bahia, and to characterize human anti-rabies treatment. Data from the spatial location of the neighborhoods were associated with the disease by species group, and data referring to the Human Development Index (HDI) and the unweighted Health Vulnerability Index (IVS) were obtained from the 2010 Census, being calculated for each district. The human anti-rabies care according to the prophylactic approach was associated with the epidemiological and sociodemographic characteristics of the human population affected. In the studied period, 25591 notifications were registered. There were more aggressions by carnivorous animals 4,950 (97.66%), and the dog was the most frequently involved species, representing 82.69% of notifications. Some spatial aggregates were associated with the HDI and IVS indices, but a regular distribution of them was not established. The sociodemographic profile of post-exposure care was characterized by an age range of 20 to 39 years old, male, brown, with incomplete primary education and residents of the urban area. Of the reported injuries, 75.86% did not receive treatment. Among those who received treatment, the vaccine was the most indicated. The pre-exposure schedule was notified in 22.94% of the cases. The largest type of exposure was biting, representing 94.58% of notifications, and the location of injuries on the lower limbs with 51.62%, followed by injuries on the hands and feet at 28.13%. Regarding the indicated treatment, among exposures by indirect contact, there was a prophylactic conduct considered inadequate (excessive). And those exposures due to minor accidents with domestic animals and involving wild animals were considered adequate, but there were some inadequacies that were considered insufficient in prophylactic conducts, such as serious accidents involving domestic animals: suspected of rabies and rabid, missing and dead. Those who interrupted any type of indicated treatment totaled 131 (2.38%) notifications, and in 85 (64.89%) cases the reason was abandonment, with an active search for the health unit in 74 (92.50% ) of these cases. There was no association between epidemiological variables and treatment discontinuation due to noncompliance</w:t>
      </w:r>
      <w:r w:rsidDel="00000000" w:rsidR="00000000" w:rsidRPr="00000000">
        <w:rPr>
          <w:rFonts w:ascii="Times New Roman" w:cs="Times New Roman" w:eastAsia="Times New Roman" w:hAnsi="Times New Roman"/>
          <w:b w:val="1"/>
          <w:rtl w:val="0"/>
        </w:rPr>
        <w:t xml:space="preserve">.</w:t>
      </w:r>
    </w:p>
    <w:p w:rsidR="00000000" w:rsidDel="00000000" w:rsidP="00000000" w:rsidRDefault="00000000" w:rsidRPr="00000000" w14:paraId="000000A8">
      <w:pPr>
        <w:spacing w:line="360" w:lineRule="auto"/>
        <w:jc w:val="both"/>
        <w:rPr>
          <w:rFonts w:ascii="Times New Roman" w:cs="Times New Roman" w:eastAsia="Times New Roman" w:hAnsi="Times New Roman"/>
          <w:highlight w:val="yellow"/>
        </w:rPr>
        <w:sectPr>
          <w:headerReference r:id="rId14" w:type="first"/>
          <w:type w:val="nextPage"/>
          <w:pgSz w:h="16838" w:w="11906" w:orient="portrait"/>
          <w:pgMar w:bottom="1417" w:top="1417" w:left="1701" w:right="1701" w:header="708" w:footer="708"/>
          <w:titlePg w:val="1"/>
        </w:sectPr>
      </w:pPr>
      <w:r w:rsidDel="00000000" w:rsidR="00000000" w:rsidRPr="00000000">
        <w:rPr>
          <w:rFonts w:ascii="Times New Roman" w:cs="Times New Roman" w:eastAsia="Times New Roman" w:hAnsi="Times New Roman"/>
          <w:b w:val="1"/>
          <w:rtl w:val="0"/>
        </w:rPr>
        <w:t xml:space="preserve">Keywords:</w:t>
      </w:r>
      <w:r w:rsidDel="00000000" w:rsidR="00000000" w:rsidRPr="00000000">
        <w:rPr>
          <w:rFonts w:ascii="Times New Roman" w:cs="Times New Roman" w:eastAsia="Times New Roman" w:hAnsi="Times New Roman"/>
          <w:rtl w:val="0"/>
        </w:rPr>
        <w:t xml:space="preserve"> Rabies; prophylaxis; health vulnerability index; human development Index; rage; prophylaxis.</w:t>
      </w:r>
      <w:r w:rsidDel="00000000" w:rsidR="00000000" w:rsidRPr="00000000">
        <w:rPr>
          <w:rtl w:val="0"/>
        </w:rPr>
      </w:r>
    </w:p>
    <w:p w:rsidR="00000000" w:rsidDel="00000000" w:rsidP="00000000" w:rsidRDefault="00000000" w:rsidRPr="00000000" w14:paraId="000000A9">
      <w:pPr>
        <w:pStyle w:val="Heading1"/>
        <w:rPr/>
      </w:pPr>
      <w:bookmarkStart w:colFirst="0" w:colLast="0" w:name="_heading=h.3znysh7" w:id="3"/>
      <w:bookmarkEnd w:id="3"/>
      <w:r w:rsidDel="00000000" w:rsidR="00000000" w:rsidRPr="00000000">
        <w:rPr>
          <w:rtl w:val="0"/>
        </w:rPr>
        <w:t xml:space="preserve">INTRODUÇÃO</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13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Animais domésticos como cães e gatos e espécies selvagens, incluindo morcegos, primatas e raposas (BENAVIDES et al, 2020) podem acometer ao homem arranhões e mordeduras, favorecendo a transmissão de zoonoses, causando assim traumas como ferimentos leves ou graves, mutilações e óbito (FRIAS et al,2012). O vírus da raiva fica presente na saliva de animais infectados e principalmente através da mordedura compromete o sistema nervoso central, ocasionando um quadro de encefalite grave e pode levar o homem a morte, se não diagnosticada e tratada a tempo. Esta doença é causada por um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Lyssavirus,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pertencente à família Rhabdoviridae, que apresenta um grave problema de saúde pública, com alto grau de letalidade e custo elevado (MENEZES, 2017).</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13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Existe uma redução significativa nos números de casos da raiva humana no Brasil até os dias atuais. Em um estudo descritivo 168 notificações foram registradas nos anos de 1980, porém houve uma redução nos anos de 1988 que foram registrados somente 37 casos </w:t>
      </w: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(SCHENEIDER, 1990)</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que se justifica por consequência do desenvolvimento de ações de prevenção do controle de zoonoses que vem crescendo cada vez mais (SOBRAL FILHO, 2019), com a implementação das ações de vigilância da doença e à vacinação antirrábica (DUARTE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2021). Portanto, mesmo em algumas regiões brasileiras onde a raiva está sob controle se faz necessário ações de prevenção, pois é uma doença reemergente, para a qual não existe tratamento curativo após o início dos sintomas (VELOSO et al, 2011).</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13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 Sistema de Informações de Agravos de Notificação (SINAN) são registrados casos da doença e ao atendimento antirrábico em todas os territórios do Brasil, pelas fichas de atendimento, permitindo o registro de agravos em uma região, o que auxilia a identificação de um cenário epidemiológico do agravo e uma possível tomada de decisão pelo sistema de saúde baseado nesses dados (BRASIL, 2017a). A Portaria no 1.271, de 06 junho de 2014, determina que todo caso suspeito de raiva humana passe a ser considerado como de notificação compulsória, imediata e individual. A portaria 204 de fevereiro de 2016, que mantém a determinação da portaria anterior acrescentou à lista de notificação compulsória e imediata, todo acidente por animal potencialmente transmissor da raiva (BRASIL, 2014b; 2016). </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13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tratamento antirrábico é de extrema importância, existem ações de uma simples lavagem do local da agressão, com água e sabão, até o tratamento completo com soro e vacina (FRIAS 2012; SOBRAL-FILHO, 2019). A dose da vacina não está atrelada ao peso, sexo, idade (BRITO, 2013).  A profilaxia para indivíduos potencialmente infectados pelo vírus tem que ser realizada rigorosamente sendo considerada uma urgência médica, e o tratamento deve ser realizado o mais rápido possível. </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13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Segundo o Ministério da Saúde a observação do animal é realizado em um período de 10 dias, que de acordo com as condições do animal agressor e o tipo de exposição (agressões leves ou graves), o paciente pode receber uma vacina, sendo duas doses, uma administrada no dia da agressão e outra no sétimo dia; ou quatro doses, sendo administradas no dia da agressão, no 0º, no 3º, no 7º e no 14º dias. E o soro que deve ser utilizado em casos de acidentes graves em que o animal (cão ou gato) tenha desaparecido, morrido ou se tornado raivoso; em casos de animal clinicamente suspeito da raiva no momento da agressão; ou acidentes graves de animais silvestres ou de produção (BRASIL,2022)</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13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número de tratamentos pós-exposição continua elevado, assim como o número de abandonos de tratamento (COSTA, 2000). Em um estudo em Porto Alegre, a maioria dos casos confirmados como abandono estava relacionada à falta de entendimento dos pacientes quanto à importância do tratamento profilático. A não conclusão do tratamento, não garante a imunização e com isto compromete a sobrevida do paciente, por isso se faz necessário algumas estratégias, como a capacitação da equipe de saúde e a educação em saúde da comunidade. (VELOSO,2011).</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134"/>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Os avanços tecnológicos estão cada vez mais sendo utilizadas como um instrumento para estimar o desenvolvimento ambiental e as políticas de sustentabilidade. Os indicadores são instrumentos utilizados para medir uma parte da realidade, de maneira sucinta, objetiva, rápida, eficiente e que permita favorecer com uma intervenção para nortear as políticas públicas e a definição de prioridades na aplicação de recursos (DE MOURA, 2022; PTICHON et al, 2012).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13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Índice de Desenvolvimento Humano (IDH) combina três dimensões básicas e universais da vida, que são as condições para que as escolhas e oportunidades dos indivíduos possam ser ampliadas: o acesso ao conhecimento (Educação), o direito a uma vida longa e saudável (Longevidade) e o direito a um padrão de vida digno (Renda). O IDH resulta, portanto, no atendimento dessas necessidades básicas para que os indivíduos possam desenvolver suas capacidades e suas escolhas (BITOUN, 2005). </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13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Índice de Vulnerabilidade da Saúde (IVS) que procura distinguir as desigualdades no perfil epidemiológico de grupos sociais distintos e possibilita a identificação de áreas com condições socioeconômicas desfavoráveis dentro do espaço urbano determinado (</w:t>
      </w: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PTICHON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et al, 2012). </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13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Através das geotecnologias é possível realizar analises espaciais em saúde, podendo ser um simples mapeamento dos eventos até uma reprodução de áreas que permitam a análise e reflexão, sobre a participação de eventos socioeconômicos e ambientais, envolvidos em doenças e agravos em espaços geográficos definidos. (MASCARENHAS, 2009). </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13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Até o presente momento, existe uma carência de trabalhos relacionados aos indicadores socioeconômicos (IDH e IVS) associados a distribuição espaço- temporal dos agravos de animais a humanos, sendo o primeiro estudo sobre este tema no município de Feira de Santana, BA. </w:t>
      </w:r>
    </w:p>
    <w:p w:rsidR="00000000" w:rsidDel="00000000" w:rsidP="00000000" w:rsidRDefault="00000000" w:rsidRPr="00000000" w14:paraId="000000B5">
      <w:pPr>
        <w:rPr>
          <w:rFonts w:ascii="Times New Roman" w:cs="Times New Roman" w:eastAsia="Times New Roman" w:hAnsi="Times New Roman"/>
          <w:b w:val="1"/>
          <w:smallCaps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B6">
      <w:pPr>
        <w:pStyle w:val="Heading1"/>
        <w:rPr/>
      </w:pPr>
      <w:bookmarkStart w:colFirst="0" w:colLast="0" w:name="_heading=h.2et92p0" w:id="4"/>
      <w:bookmarkEnd w:id="4"/>
      <w:r w:rsidDel="00000000" w:rsidR="00000000" w:rsidRPr="00000000">
        <w:rPr>
          <w:rtl w:val="0"/>
        </w:rPr>
        <w:t xml:space="preserve">OBJETIVOS</w:t>
      </w:r>
    </w:p>
    <w:p w:rsidR="00000000" w:rsidDel="00000000" w:rsidP="00000000" w:rsidRDefault="00000000" w:rsidRPr="00000000" w14:paraId="000000B7">
      <w:pPr>
        <w:pStyle w:val="Heading2"/>
        <w:ind w:firstLine="567"/>
        <w:rPr>
          <w:b w:val="0"/>
          <w:sz w:val="28"/>
          <w:szCs w:val="28"/>
        </w:rPr>
      </w:pPr>
      <w:bookmarkStart w:colFirst="0" w:colLast="0" w:name="_heading=h.tyjcwt" w:id="5"/>
      <w:bookmarkEnd w:id="5"/>
      <w:r w:rsidDel="00000000" w:rsidR="00000000" w:rsidRPr="00000000">
        <w:rPr>
          <w:rtl w:val="0"/>
        </w:rPr>
        <w:t xml:space="preserve">Geral</w:t>
      </w:r>
      <w:r w:rsidDel="00000000" w:rsidR="00000000" w:rsidRPr="00000000">
        <w:rPr>
          <w:rtl w:val="0"/>
        </w:rPr>
      </w:r>
    </w:p>
    <w:p w:rsidR="00000000" w:rsidDel="00000000" w:rsidP="00000000" w:rsidRDefault="00000000" w:rsidRPr="00000000" w14:paraId="000000B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Investigar os fatores epidemiológicos e socioeconômicos que influenciam nos agravos a humanos por animais no município de Feira de Santana, Bahia e caracterizar o tratamento antirrábico humano. </w:t>
      </w:r>
    </w:p>
    <w:p w:rsidR="00000000" w:rsidDel="00000000" w:rsidP="00000000" w:rsidRDefault="00000000" w:rsidRPr="00000000" w14:paraId="000000B9">
      <w:pPr>
        <w:pStyle w:val="Heading2"/>
        <w:ind w:firstLine="567"/>
        <w:rPr>
          <w:b w:val="0"/>
        </w:rPr>
      </w:pPr>
      <w:bookmarkStart w:colFirst="0" w:colLast="0" w:name="_heading=h.3dy6vkm" w:id="6"/>
      <w:bookmarkEnd w:id="6"/>
      <w:r w:rsidDel="00000000" w:rsidR="00000000" w:rsidRPr="00000000">
        <w:rPr>
          <w:rtl w:val="0"/>
        </w:rPr>
        <w:t xml:space="preserve">Específicos</w:t>
      </w:r>
      <w:r w:rsidDel="00000000" w:rsidR="00000000" w:rsidRPr="00000000">
        <w:rPr>
          <w:rtl w:val="0"/>
        </w:rPr>
      </w:r>
    </w:p>
    <w:p w:rsidR="00000000" w:rsidDel="00000000" w:rsidP="00000000" w:rsidRDefault="00000000" w:rsidRPr="00000000" w14:paraId="000000B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Analisar espacial e temporalmente os registros do banco de dados SINAN de agravos a humanos por animais, segundo os grupos de espécies;</w:t>
      </w:r>
    </w:p>
    <w:p w:rsidR="00000000" w:rsidDel="00000000" w:rsidP="00000000" w:rsidRDefault="00000000" w:rsidRPr="00000000" w14:paraId="000000B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Avaliar a correlação espacial e temporal dos agravos a humanos por animais aos índices de desenvolvimento humano (IDH) e índice de desigualdade da saúde (IVS);</w:t>
      </w:r>
    </w:p>
    <w:p w:rsidR="00000000" w:rsidDel="00000000" w:rsidP="00000000" w:rsidRDefault="00000000" w:rsidRPr="00000000" w14:paraId="000000B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Analisar as características epidemiológicas e sociodemográficas dos tratamentos antirrábico humano após agravos por animais;</w:t>
      </w:r>
    </w:p>
    <w:p w:rsidR="00000000" w:rsidDel="00000000" w:rsidP="00000000" w:rsidRDefault="00000000" w:rsidRPr="00000000" w14:paraId="000000BD">
      <w:pPr>
        <w:rPr>
          <w:rFonts w:ascii="Times New Roman" w:cs="Times New Roman" w:eastAsia="Times New Roman" w:hAnsi="Times New Roman"/>
          <w:b w:val="1"/>
          <w:smallCaps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BE">
      <w:pPr>
        <w:pStyle w:val="Heading1"/>
        <w:rPr>
          <w:sz w:val="28"/>
          <w:szCs w:val="28"/>
        </w:rPr>
      </w:pPr>
      <w:bookmarkStart w:colFirst="0" w:colLast="0" w:name="_heading=h.1t3h5sf" w:id="7"/>
      <w:bookmarkEnd w:id="7"/>
      <w:r w:rsidDel="00000000" w:rsidR="00000000" w:rsidRPr="00000000">
        <w:rPr>
          <w:rtl w:val="0"/>
        </w:rPr>
        <w:t xml:space="preserve">BASE CONCEITUAL</w:t>
      </w: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13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convivência com animais domésticos traz benefícios ao ser humano, porém, a criação inadequada de muitos animais vem aumentando o risco de agressão, além de transmitir doenças (MUNDIM et al., 2007). Infelizmente existem fatores que podem contribuir para o aumento da agressividade do animal, como aqueles mantidos em residências privadas: a falta de higiene no lugar onde vivem, os maus tratos, o livre acesso de sair nas ruas e as casas vizinhas e animais mantidos em locais muito pequenos (SCHOENDORFER, 2001). Além disso, naqueles animais errantes, sendo livres e sem dono resulta na ausência de um monitoramento vacinal adequado.  A agressão animal poder ser causada também por estímulos de proteção de alimentos, pessoas, filhotes, território e predatória (FORTES et al., 2007). </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13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Existem zoonoses que podem ser transmitidos para o ser humano, como a raiva (DE OLIVEIRA NETO et al, 2018). Esta doença é causada por um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Lyssavirus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pertencente à família Rhabdoviridae e sua transmissão ocorre principalmente por causa de mordeduras e arranhaduras de animais, como por exemplo cães e gatos (MENEZES, 2017). Esta doença desenvolve-se não somente em animais domésticos, como também em animais silvestres apresentando a importância dessas espécies na sua epidemiologia por contribuir com a manutenção do vírus na natureza (GRISÓLIO, 2014).</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13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cadeia epidemiológica da raiva no Brasil, pode ser dividido em quatro ciclos de transmissão: urbano, rural, aéreo silvestre e terrestre selvagem (ROCHA, et al 2015). No ciclo urbano o cão é o causador de 99% dos casos de raiva em seres humanos no mundo (WHO, 2013a).  No ciclo rural se destacam os morcegos hematófagos que transmitem o vírus para animais de produção, causando sérios prejuízos (REZENDE et al., 1997; FERNANDES, 2003). É importante identificar e reduzir o contato direto entre animais selvagens e domésticos, limitar contatos com estes animais, reduzir a alimentação, por exemplo, pode prevenir a exposição humana a raiva (BENAVIDES JÁ et al, 2020). </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13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Entre julho de 1980 a 2012 foram registrados 1.457 casos de raiva humana no Brasil, sendo 0,3% no Sul, 9,7% no Centro-oeste, 16,7% no Sudeste, 19,2% no Norte e 54,1% no Nordeste. Entre 1980 e 2012, cães e gatos, transmitiram 76,0% dos casos de raiva humana (SOBRAL-FILHO, 2019). Em um estudo realizado na Bahia, município de Lauro de Freitas, foram analisadas 5.725 fichas de Profilaxia da Raiva Humana, no período de 1999 a jun./2004, onde foi observado um aumento no número de casos nos anos 2001, 2002 e 2003 (MASCARENHAS et al., 2012.). De acordo com Wada (2011) com a consequência do desenvolvimento, a partir de 1950 atividades e regulamentações direcionadas ao controle de zoonoses começaram a ocorrer, principalmente com a raiva animal, desde programas de vacinações, até a criação do SINAN.</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13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Quando são apresentados os casos de raiva, é possível observar que a maioria dos casos ocorrem por agressões de cães e em seguida de gatos. Segundo Duarte et al (2021), em um estudo realizado no Ceará, no período de 1970-2019, foram analisados 171 registros de casos, onde o cão foi responsável pela transmissão do vírus em quase 75% dos casos. Em Tocantins no período de 2013 a 2015, a principal espécie animal agressora foi a canina, responsável por 82,8% dos atendimentos, seguida pela felina com 12,5% (MENEZES et al 2017). </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13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Pelos critérios estabelecidos para notificação dos agravos, todo caso suspeito ou confirmado de raiva humana é de notificação compulsória e imediata (BRASIL, 2009; BRASIL, 2010). De acordo com o Ministério da Saúde os casos suspeitos ou confirmados de raiva humana, os de profilaxia antirrábica e os casos de eventos adversos das vacinas e soros, devem ser apurados e registrados pelo SINAN. Os casos suspeitos de raiva humana têm de ser notificados de forma compulsória, individualmente, e imediatamente aos níveis municipal, estadual e federal. </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13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Para isso, é usado uma ficha de investigação, padronizada pelo SINAN (BRASIL, 2014a). O SINAN foi regulamentado somente em 1998, de acordo com a publicação de Portaria ministerial obrigando a alimentação regular da base de dados nacional de municípios, estados e Distrito Federal (BRASIL, 2009; TEXEIRA et al, 1998). Pelos registros é possível identificar que a Organização Mundial da Saúde (OMS) (2017) estima que a raiva seja responsável por 35.000 a 50.000 mortes anualmente pelo mundo, possivelmente com expressiva soma de casos subnotificados.</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13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 notificações dos atendimentos antirrábicos humanos relacionados a acidentes com gatos domésticos representaram 13,4% do total de notificações, no período de 2007 a 2016, em Belo Horizonte. Esses resultados confirmam os dados do Ministério da Saúde (BRASIL, 2016), segundo o qual 11,7% das notificações no Brasil aconteceram devido a agressões por gatos domésticos (ARAUJO et al, 2020). De acordo com Da Costa (1999), o cão continua sendo o principal responsável pela transmissão da doença no país e, portanto, pela alta taxa de tratamentos. Devido a presença de cães errantes ou semi domiciliados (os que têm vários donos), ficam circulando livremente, podendo ser vistos facilmente em qualquer local. </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13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Segundo o Ministério da Saúde, a profilaxia de pré-exposição é indicada para pessoas com risco de exposição permanente ao vírus da raiva, os profissionais de saúde como: médicos veterinários, biólogos, profissionais que ocupam o campo de captura, funcionários de zoológicos, pessoas que desenvolvem trabalho de campo com animais silvestres, espeleólogos, guias de ecoturismo, pescadores e outros profissionais que trabalham em áreas de risco, profissionais e auxiliares de laboratório de virologia e anatomopatologia para raiva. </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13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tratamento depende das condições do animal agressor e o tipo de exposição agressões leves ou graves sendo duas doses, uma no dia da agressão e outra no sétimo dia; ou quatro doses, sendo administradas no dia da agressão, no 0º, no 3º, no 7º e no 14º dias (BRASIL, 2022) O soro só deve ser utilizado em casos de acidentes graves em que o animal (cão ou gato) tenha desaparecido, morrido ou se tornado raivoso; em casos de animal clinicamente suspeito da raiva no momento da agressão ou acidentes graves de animais silvestres ou de produção (BRASIL, 2014). Sua aplicação é necessária para conferir anticorpos passivos ao indivíduo até que os anticorpos vacinais estejam presentes. Mortes por raiva têm sido atribuídas à falta do uso do soro, apesar do tratamento vacinal (WARREL, 2003).</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13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profilaxia pós exposição é muito eficaz se o tratamento for logo instituído com cuidados das feridas, acompanhada de vacinação adequada. Mas a ocorrência de mortes continuam a ser notificadas, pois o tratamento, é muitas vezes é incompleto, insuficiente, ou em atraso (WARREL, 2012; MORIWAKI et al., 2013). A Organização Mundial de Saúde relata notificações de mais de 15 milhões de profilaxias pós-exposição e o gradual aumento de atendimentos no período avaliado (MORIWAKI et al., 2013). </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13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 relação à distribuição temporal das notificações do atendimento antirrábico humano pós-exposição, em Belo Horizonte, observou-se que os anos de 2007 a 2014 foram responsáveis por 42,6% delas, e os anos de 2015 e 2016 por 57,4% (ARAUJO et al., 2020). Em Tocantins, no período de 2013 a 2015, foram notificados 20.268 atendimentos antirrábico pós-exposição, apresentando uma média anual de 6.756±231,31 atendimentos, um incremento de 6,7% no período avaliado (MENEZES et al., 2017). </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13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não conclusão do tratamento não garante a imunização, podendo comprometer a sobrevida do paciente. Infelizmente muitos casos são notificados sobre o abandono de tratamento (COSTA 2000). Segundo Veloso (2011) em uma pesquisa realizada através das fichas do SINAN, no segundo semestre de 2006, foram notificados 2.223 atendimentos antirrábicos humanos. Foram 1.737 indivíduos que receberam indicação de vacina e 962 (55,4%) foram considerados como tendo abandonado o tratamento, (não havia registro da sua conclusão na ficha de atendimento). Entre esses foram contatados 280 pacientes para entrevistas, e os motivos do abandono foram que os indivíduos relataram não terem considerado necessário completar o tratamento, não se sentiram adequadamente orientados sobre como dar continuidade a ele e a falta de tempo para realizarem as vacinas ou a recomendação do profissional da saúde sobre a não necessidade de realizar a segunda dose se o animal estivesse saudável. Em outro estudo no Maranhão, em Paço do Lumiar, nos anos de 2013 a 2015, foi realizado também com as fichas de notificação no SINAN, com um total 727 casos, onde foram observados o número de abandonos com 36,59%, considerado alto para os padrões da notificação (DO VALE et al, 2019)</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13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Os indicadores socioeconômicos estão diretamente ligados às realidades econômicas, educacionais, culturais, psicológicas e comportamentais de grupos/regiões/países. Existem 16 doenças que são negligenciadas no país, entre elas a raiva, estas doenças geralmente estão associadas ao estado de pobreza no qual os indivíduos acometidos por elas se encontram (SOUTO-MARCHAND et al., 2017). Segundo dados da OMS, em 2009, na América Latina e no Caribe cerca de 130 milhões de pessoas viviam na pobreza.  No Brasil de 2011, eram cerca de 16 milhões de pessoas nessa condição (BRASIL 2013). </w:t>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13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Algumas doenças podem estar associadas às condições sociais e econômicas em que os indivíduos acometidos por ela se encontram inseridos. Estas mesmas condições são essenciais para promoção de ações de prevenção, tratamento e cuidados e controle (SOUTO-MARCHAND et al., 2017). De acordo com Araújo (2002) foi realizado um estudo descritivo da raiva humana no Brasil no período de 1992 a 2001, foram 313 casos ocorridos, se destacando nos resultados a região Nordeste que concentrou 50,48% de casos notificados da raiva humana. Miranda (2001) conclui em sua dissertação que as áreas de maior risco de raiva humana coincidem com as regiões com o menor desenvolvimento socioeconômico do estado de Minas Gerais.</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13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 um estudo na capital Belo Horizonte, foi calculado o índice de vulnerabilidade da saúde (IVS) por área, os resultados demostraram associação importante com indicadores classicamente relacionados às condições socioeconômicas daquela região, representando um indicador simples e de uma clara compreensão, sendo uma ferramenta importante no redesenho de uma rede de atenção à saúde e promoção social, em diversas escalas geográficas. Em belo horizonte, vem sendo utilizado como uma das muitas formas de compreensão das realidades locais. Nesse sentido, os indicadores são capazes de detectar e refletir situações espacialmente determinadas de risco à saúde decorrentes de condições ambientais e sociais divergentes, consequentes da relação entre a população e sua região. São nessas relações que se desenvolvem os meios propícios para o início de doenças e para seu controle (PTICHON et al, 2012).</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13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Estudos do perfil epidemiológico dos atendimentos antirrábico apresentam que homens adultos com ensino fundamental incompleto são os mais agredidos, que possivelmente, os menos escolarizados sejam os que tenham baixo poder aquisitivo e sem acesso à informação, o que faz com que seus animais tenham livre acesso diário às ruas sem acompanhamento do proprietário e não sejam vacinados (ABREU et al., 2014).   Segundo Menezes (2017) em um estudo realizado no Estado do Tocantins, no período de 2013 a 2015 foram notificados 20.268 atendimentos antirrábico pós-exposição onde a maioria 38,4% (6.225) tinham ensino fundamental incompleto. O grau de escolaridade é descrito na literatura como indicador de nível socioeconômico (FILGUEIRA et al., 2011). Segundo Abreu et al., (2014) </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113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Estas informações apontam para a necessidade de implementação de estratégias educativas direcionadas e condizentes aos diversos níveis sociais e culturais a fim de reduzir riscos para a saúde da população e ações de prevenção com a realização de vacinação em animais, vacinação pré e pós exposição em humanos, são ações determinantes para a redução de casos desta zoonose em nosso meio (MENEZES, 2017; ARAUJO, 2002).</w:t>
      </w:r>
    </w:p>
    <w:p w:rsidR="00000000" w:rsidDel="00000000" w:rsidP="00000000" w:rsidRDefault="00000000" w:rsidRPr="00000000" w14:paraId="000000D1">
      <w:pPr>
        <w:rPr>
          <w:rFonts w:ascii="Times New Roman" w:cs="Times New Roman" w:eastAsia="Times New Roman" w:hAnsi="Times New Roman"/>
          <w:color w:val="000000"/>
          <w:sz w:val="23"/>
          <w:szCs w:val="23"/>
        </w:rPr>
        <w:sectPr>
          <w:type w:val="nextPage"/>
          <w:pgSz w:h="16838" w:w="11906" w:orient="portrait"/>
          <w:pgMar w:bottom="1417" w:top="1417" w:left="1701" w:right="1701" w:header="708" w:footer="708"/>
          <w:titlePg w:val="1"/>
        </w:sectPr>
      </w:pPr>
      <w:r w:rsidDel="00000000" w:rsidR="00000000" w:rsidRPr="00000000">
        <w:br w:type="page"/>
      </w:r>
      <w:r w:rsidDel="00000000" w:rsidR="00000000" w:rsidRPr="00000000">
        <w:rPr>
          <w:rtl w:val="0"/>
        </w:rPr>
      </w:r>
    </w:p>
    <w:p w:rsidR="00000000" w:rsidDel="00000000" w:rsidP="00000000" w:rsidRDefault="00000000" w:rsidRPr="00000000" w14:paraId="000000D2">
      <w:pPr>
        <w:pStyle w:val="Heading1"/>
        <w:spacing w:before="0" w:lineRule="auto"/>
        <w:rPr/>
      </w:pPr>
      <w:bookmarkStart w:colFirst="0" w:colLast="0" w:name="_heading=h.4d34og8" w:id="8"/>
      <w:bookmarkEnd w:id="8"/>
      <w:r w:rsidDel="00000000" w:rsidR="00000000" w:rsidRPr="00000000">
        <w:rPr>
          <w:rtl w:val="0"/>
        </w:rPr>
        <w:t xml:space="preserve">REFERÊNCIAS </w:t>
      </w:r>
    </w:p>
    <w:p w:rsidR="00000000" w:rsidDel="00000000" w:rsidP="00000000" w:rsidRDefault="00000000" w:rsidRPr="00000000" w14:paraId="000000D3">
      <w:pPr>
        <w:spacing w:after="0" w:before="288"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ABREU, M. V. S</w:t>
      </w:r>
      <w:r w:rsidDel="00000000" w:rsidR="00000000" w:rsidRPr="00000000">
        <w:rPr>
          <w:rFonts w:ascii="Times New Roman" w:cs="Times New Roman" w:eastAsia="Times New Roman" w:hAnsi="Times New Roman"/>
          <w:i w:val="1"/>
          <w:sz w:val="24"/>
          <w:szCs w:val="24"/>
          <w:rtl w:val="0"/>
        </w:rPr>
        <w:t xml:space="preserve">. et al</w:t>
      </w:r>
      <w:r w:rsidDel="00000000" w:rsidR="00000000" w:rsidRPr="00000000">
        <w:rPr>
          <w:rFonts w:ascii="Times New Roman" w:cs="Times New Roman" w:eastAsia="Times New Roman" w:hAnsi="Times New Roman"/>
          <w:sz w:val="24"/>
          <w:szCs w:val="24"/>
          <w:rtl w:val="0"/>
        </w:rPr>
        <w:t xml:space="preserve">. Proposta metodológica para o cálculo e análise espacial do IDH intraurbano de Viçosa - MG. </w:t>
      </w:r>
      <w:r w:rsidDel="00000000" w:rsidR="00000000" w:rsidRPr="00000000">
        <w:rPr>
          <w:rFonts w:ascii="Times New Roman" w:cs="Times New Roman" w:eastAsia="Times New Roman" w:hAnsi="Times New Roman"/>
          <w:b w:val="1"/>
          <w:sz w:val="24"/>
          <w:szCs w:val="24"/>
          <w:rtl w:val="0"/>
        </w:rPr>
        <w:t xml:space="preserve">Revista brasileira de estudos populacionais</w:t>
      </w:r>
      <w:r w:rsidDel="00000000" w:rsidR="00000000" w:rsidRPr="00000000">
        <w:rPr>
          <w:rFonts w:ascii="Times New Roman" w:cs="Times New Roman" w:eastAsia="Times New Roman" w:hAnsi="Times New Roman"/>
          <w:sz w:val="24"/>
          <w:szCs w:val="24"/>
          <w:rtl w:val="0"/>
        </w:rPr>
        <w:t xml:space="preserve">, Rio de Janeiro, RJ, v. 28, n. 1, p. 169-186, 2011. Disponível em: https://www.scielo.br/j/rbepop/a/jbJDhW669nFrDsHPPkdxVTw/abstract/?lang=pt</w:t>
      </w:r>
      <w:r w:rsidDel="00000000" w:rsidR="00000000" w:rsidRPr="00000000">
        <w:rPr>
          <w:rtl w:val="0"/>
        </w:rPr>
      </w:r>
    </w:p>
    <w:p w:rsidR="00000000" w:rsidDel="00000000" w:rsidP="00000000" w:rsidRDefault="00000000" w:rsidRPr="00000000" w14:paraId="000000D4">
      <w:pPr>
        <w:spacing w:after="0" w:before="288"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highlight w:val="white"/>
          <w:rtl w:val="0"/>
        </w:rPr>
        <w:t xml:space="preserve">ABREU, N. A. Perfil epidemiológico do cliente no atendimento antirrábico humano em Teresina-PI. </w:t>
      </w:r>
      <w:r w:rsidDel="00000000" w:rsidR="00000000" w:rsidRPr="00000000">
        <w:rPr>
          <w:rFonts w:ascii="Times New Roman" w:cs="Times New Roman" w:eastAsia="Times New Roman" w:hAnsi="Times New Roman"/>
          <w:b w:val="1"/>
          <w:sz w:val="24"/>
          <w:szCs w:val="24"/>
          <w:highlight w:val="white"/>
          <w:rtl w:val="0"/>
        </w:rPr>
        <w:t xml:space="preserve">Revista interdisciplinar</w:t>
      </w:r>
      <w:r w:rsidDel="00000000" w:rsidR="00000000" w:rsidRPr="00000000">
        <w:rPr>
          <w:rFonts w:ascii="Times New Roman" w:cs="Times New Roman" w:eastAsia="Times New Roman" w:hAnsi="Times New Roman"/>
          <w:sz w:val="24"/>
          <w:szCs w:val="24"/>
          <w:highlight w:val="white"/>
          <w:rtl w:val="0"/>
        </w:rPr>
        <w:t xml:space="preserve">, Belo Horizonte, v. 7, n. 2, p. 103-111, 2014.</w:t>
      </w:r>
      <w:r w:rsidDel="00000000" w:rsidR="00000000" w:rsidRPr="00000000">
        <w:rPr>
          <w:rtl w:val="0"/>
        </w:rPr>
      </w:r>
    </w:p>
    <w:p w:rsidR="00000000" w:rsidDel="00000000" w:rsidP="00000000" w:rsidRDefault="00000000" w:rsidRPr="00000000" w14:paraId="000000D5">
      <w:pPr>
        <w:spacing w:after="0" w:before="288"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ARAUJO, F. A. A. </w:t>
      </w:r>
      <w:r w:rsidDel="00000000" w:rsidR="00000000" w:rsidRPr="00000000">
        <w:rPr>
          <w:rFonts w:ascii="Times New Roman" w:cs="Times New Roman" w:eastAsia="Times New Roman" w:hAnsi="Times New Roman"/>
          <w:b w:val="1"/>
          <w:sz w:val="24"/>
          <w:szCs w:val="24"/>
          <w:rtl w:val="0"/>
        </w:rPr>
        <w:t xml:space="preserve">Raiva humana no Brasil, 1992-2001</w:t>
      </w:r>
      <w:r w:rsidDel="00000000" w:rsidR="00000000" w:rsidRPr="00000000">
        <w:rPr>
          <w:rFonts w:ascii="Times New Roman" w:cs="Times New Roman" w:eastAsia="Times New Roman" w:hAnsi="Times New Roman"/>
          <w:sz w:val="24"/>
          <w:szCs w:val="24"/>
          <w:rtl w:val="0"/>
        </w:rPr>
        <w:t xml:space="preserve">. 2002. 88 f. Dissertação (Mestrado Escola de Veterinária) - Universidade Estadual de Minas Gerais, 2002. Disponível em: </w:t>
      </w:r>
      <w:hyperlink r:id="rId15">
        <w:r w:rsidDel="00000000" w:rsidR="00000000" w:rsidRPr="00000000">
          <w:rPr>
            <w:rFonts w:ascii="Times New Roman" w:cs="Times New Roman" w:eastAsia="Times New Roman" w:hAnsi="Times New Roman"/>
            <w:color w:val="000000"/>
            <w:sz w:val="24"/>
            <w:szCs w:val="24"/>
            <w:u w:val="none"/>
            <w:rtl w:val="0"/>
          </w:rPr>
          <w:t xml:space="preserve">http://hdl.handle.net/1843/BUOS-8BWGGJ</w:t>
        </w:r>
      </w:hyperlink>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8"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ARAÚJO, I. 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Epidemiological analysis of human anti-rabies prophylaxis associated with accidents with cats.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Arquivo Brasileiro de Medicina Veterinaria e Zootecnia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Minas Gerais, MG, v. 72, n. 3, p. 814-822, 2020.Disponível em: https://doi.org/10.1590/1678-4162-10413</w:t>
      </w:r>
    </w:p>
    <w:p w:rsidR="00000000" w:rsidDel="00000000" w:rsidP="00000000" w:rsidRDefault="00000000" w:rsidRPr="00000000" w14:paraId="000000D7">
      <w:pPr>
        <w:spacing w:after="0" w:before="288" w:line="240" w:lineRule="auto"/>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ARAUJO.I. L </w:t>
      </w:r>
      <w:r w:rsidDel="00000000" w:rsidR="00000000" w:rsidRPr="00000000">
        <w:rPr>
          <w:rFonts w:ascii="Times New Roman" w:cs="Times New Roman" w:eastAsia="Times New Roman" w:hAnsi="Times New Roman"/>
          <w:b w:val="1"/>
          <w:color w:val="000000"/>
          <w:sz w:val="24"/>
          <w:szCs w:val="24"/>
          <w:highlight w:val="white"/>
          <w:rtl w:val="0"/>
        </w:rPr>
        <w:t xml:space="preserve">Avaliação da profilaxia inicial pós-exposição da raiva humana, indicada em acidentes notificados com gatos, em Belo Horizonte/MG, no período de 2007 a 2016</w:t>
      </w:r>
      <w:r w:rsidDel="00000000" w:rsidR="00000000" w:rsidRPr="00000000">
        <w:rPr>
          <w:rFonts w:ascii="Times New Roman" w:cs="Times New Roman" w:eastAsia="Times New Roman" w:hAnsi="Times New Roman"/>
          <w:color w:val="000000"/>
          <w:sz w:val="24"/>
          <w:szCs w:val="24"/>
          <w:highlight w:val="white"/>
          <w:rtl w:val="0"/>
        </w:rPr>
        <w:t xml:space="preserve">. 2017. Dissertação (Mestrado Ciência Animal) - Universidade Federal de Minas Gerais. Belo Horizonte, Minas Gerais. Disponível em: </w:t>
      </w:r>
      <w:r w:rsidDel="00000000" w:rsidR="00000000" w:rsidRPr="00000000">
        <w:rPr>
          <w:rFonts w:ascii="Times New Roman" w:cs="Times New Roman" w:eastAsia="Times New Roman" w:hAnsi="Times New Roman"/>
          <w:sz w:val="24"/>
          <w:szCs w:val="24"/>
          <w:rtl w:val="0"/>
        </w:rPr>
        <w:t xml:space="preserve">http://hdl.handle.net/1843/SMOC-ATHNM7.</w:t>
      </w:r>
      <w:r w:rsidDel="00000000" w:rsidR="00000000" w:rsidRPr="00000000">
        <w:rPr>
          <w:rtl w:val="0"/>
        </w:rPr>
      </w:r>
    </w:p>
    <w:p w:rsidR="00000000" w:rsidDel="00000000" w:rsidP="00000000" w:rsidRDefault="00000000" w:rsidRPr="00000000" w14:paraId="000000D8">
      <w:pPr>
        <w:spacing w:after="0" w:before="288"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222222"/>
          <w:sz w:val="24"/>
          <w:szCs w:val="24"/>
          <w:highlight w:val="white"/>
          <w:rtl w:val="0"/>
        </w:rPr>
        <w:t xml:space="preserve">BENAVIDES, J. A. </w:t>
      </w:r>
      <w:r w:rsidDel="00000000" w:rsidR="00000000" w:rsidRPr="00000000">
        <w:rPr>
          <w:rFonts w:ascii="Times New Roman" w:cs="Times New Roman" w:eastAsia="Times New Roman" w:hAnsi="Times New Roman"/>
          <w:i w:val="1"/>
          <w:color w:val="222222"/>
          <w:sz w:val="24"/>
          <w:szCs w:val="24"/>
          <w:highlight w:val="white"/>
          <w:rtl w:val="0"/>
        </w:rPr>
        <w:t xml:space="preserve">et al</w:t>
      </w:r>
      <w:r w:rsidDel="00000000" w:rsidR="00000000" w:rsidRPr="00000000">
        <w:rPr>
          <w:rFonts w:ascii="Times New Roman" w:cs="Times New Roman" w:eastAsia="Times New Roman" w:hAnsi="Times New Roman"/>
          <w:color w:val="222222"/>
          <w:sz w:val="24"/>
          <w:szCs w:val="24"/>
          <w:highlight w:val="white"/>
          <w:rtl w:val="0"/>
        </w:rPr>
        <w:t xml:space="preserve">. Using surveillance of animal bite patients to decipher potential risks of rabies exposure from domestic animals and wildlife in Brazil. </w:t>
      </w:r>
      <w:r w:rsidDel="00000000" w:rsidR="00000000" w:rsidRPr="00000000">
        <w:rPr>
          <w:rFonts w:ascii="Times New Roman" w:cs="Times New Roman" w:eastAsia="Times New Roman" w:hAnsi="Times New Roman"/>
          <w:b w:val="1"/>
          <w:color w:val="222222"/>
          <w:sz w:val="24"/>
          <w:szCs w:val="24"/>
          <w:highlight w:val="white"/>
          <w:rtl w:val="0"/>
        </w:rPr>
        <w:t xml:space="preserve">Frontiers in public health</w:t>
      </w:r>
      <w:r w:rsidDel="00000000" w:rsidR="00000000" w:rsidRPr="00000000">
        <w:rPr>
          <w:rFonts w:ascii="Times New Roman" w:cs="Times New Roman" w:eastAsia="Times New Roman" w:hAnsi="Times New Roman"/>
          <w:color w:val="222222"/>
          <w:sz w:val="24"/>
          <w:szCs w:val="24"/>
          <w:highlight w:val="white"/>
          <w:rtl w:val="0"/>
        </w:rPr>
        <w:t xml:space="preserve">, Australia, v. 8, n.  p. 318, 2020. </w:t>
      </w:r>
      <w:r w:rsidDel="00000000" w:rsidR="00000000" w:rsidRPr="00000000">
        <w:rPr>
          <w:rFonts w:ascii="Times New Roman" w:cs="Times New Roman" w:eastAsia="Times New Roman" w:hAnsi="Times New Roman"/>
          <w:rtl w:val="0"/>
        </w:rPr>
        <w:t xml:space="preserve">Disponível em: </w:t>
      </w:r>
      <w:hyperlink r:id="rId16">
        <w:r w:rsidDel="00000000" w:rsidR="00000000" w:rsidRPr="00000000">
          <w:rPr>
            <w:rFonts w:ascii="Times New Roman" w:cs="Times New Roman" w:eastAsia="Times New Roman" w:hAnsi="Times New Roman"/>
            <w:color w:val="000000"/>
            <w:u w:val="none"/>
            <w:rtl w:val="0"/>
          </w:rPr>
          <w:t xml:space="preserve">https://doi.org/10.3389/fpubh.2020.00318</w:t>
        </w:r>
      </w:hyperlink>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D9">
      <w:pPr>
        <w:spacing w:after="0" w:before="288"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BITOUN, J. O que revelam os índices de Desenvolvimento Humano. </w:t>
      </w:r>
      <w:r w:rsidDel="00000000" w:rsidR="00000000" w:rsidRPr="00000000">
        <w:rPr>
          <w:rFonts w:ascii="Times New Roman" w:cs="Times New Roman" w:eastAsia="Times New Roman" w:hAnsi="Times New Roman"/>
          <w:b w:val="1"/>
          <w:sz w:val="24"/>
          <w:szCs w:val="24"/>
          <w:rtl w:val="0"/>
        </w:rPr>
        <w:t xml:space="preserve">In: Atlas de Desenvolvimento Humano no Recife (2005)</w:t>
      </w:r>
      <w:r w:rsidDel="00000000" w:rsidR="00000000" w:rsidRPr="00000000">
        <w:rPr>
          <w:rFonts w:ascii="Times New Roman" w:cs="Times New Roman" w:eastAsia="Times New Roman" w:hAnsi="Times New Roman"/>
          <w:sz w:val="24"/>
          <w:szCs w:val="24"/>
          <w:rtl w:val="0"/>
        </w:rPr>
        <w:t xml:space="preserve">. Secretaria de Planejamento, Urbanismo e Meio Ambiente. Recife, PE, PNUD, 2005.</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88" w:line="240" w:lineRule="auto"/>
        <w:ind w:left="0" w:right="0" w:firstLine="0"/>
        <w:jc w:val="both"/>
        <w:rPr>
          <w:rFonts w:ascii="Times New Roman" w:cs="Times New Roman" w:eastAsia="Times New Roman" w:hAnsi="Times New Roman"/>
          <w:b w:val="0"/>
          <w:i w:val="0"/>
          <w:smallCaps w:val="0"/>
          <w:strike w:val="0"/>
          <w:color w:val="0563c1"/>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BRASIL. MINISTÉRIO DA SAÚDE. Secretaria de Vigilância em Saúde. Situação Epidemiológica das Zoonoses de Interesse à Saúde Pública.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Boletim Eletrônico Epidemiológico.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2009; v. 9, n. 1, p. 1-17. 2009. Disponível em </w:t>
      </w:r>
      <w:hyperlink r:id="rId1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http://portal.saude.gov.br/portal/arquivos/pdf/boletim_epidemiologico_zoonoses_062009.pdf</w:t>
        </w:r>
      </w:hyperlink>
      <w:r w:rsidDel="00000000" w:rsidR="00000000" w:rsidRPr="00000000">
        <w:rPr>
          <w:rtl w:val="0"/>
        </w:rPr>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88"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BRASIL.  MINISTÉRIO DA SAÚDE. Conselho Nacional de Saúde.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Resolução nº 466, de 12 de dezembro de 2012.</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Aprova as diretrizes e normas regulamentadoras de pesquisas envolvendo seres humanos. Brasília, DF, 2012</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88"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BRASIL. MINISTÉRIO DA SAÚDE. Secretaria de Vigilância em Saúde. Departamento de Análise de Situação de Saúde. Saúde Brasil 2012.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Uma análise da situação de saúde e dos 40 anos do Programa Nacional de Imunizações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2013</w:t>
      </w:r>
    </w:p>
    <w:p w:rsidR="00000000" w:rsidDel="00000000" w:rsidP="00000000" w:rsidRDefault="00000000" w:rsidRPr="00000000" w14:paraId="000000DD">
      <w:pPr>
        <w:spacing w:after="0" w:before="288" w:line="240" w:lineRule="auto"/>
        <w:jc w:val="both"/>
        <w:rPr>
          <w:rFonts w:ascii="Times New Roman" w:cs="Times New Roman" w:eastAsia="Times New Roman" w:hAnsi="Times New Roman"/>
          <w:color w:val="000000"/>
          <w:sz w:val="24"/>
          <w:szCs w:val="24"/>
          <w:highlight w:val="white"/>
          <w:u w:val="none"/>
        </w:rPr>
      </w:pPr>
      <w:r w:rsidDel="00000000" w:rsidR="00000000" w:rsidRPr="00000000">
        <w:rPr>
          <w:rFonts w:ascii="Times New Roman" w:cs="Times New Roman" w:eastAsia="Times New Roman" w:hAnsi="Times New Roman"/>
          <w:sz w:val="24"/>
          <w:szCs w:val="24"/>
          <w:highlight w:val="white"/>
          <w:rtl w:val="0"/>
        </w:rPr>
        <w:t xml:space="preserve">BRASIL. MINISTÉRIO DA SAÚDE (BR). Secretaria de Vigilância em Saúde. Departamento de Vigilância Epidemiológica. </w:t>
      </w:r>
      <w:r w:rsidDel="00000000" w:rsidR="00000000" w:rsidRPr="00000000">
        <w:rPr>
          <w:rFonts w:ascii="Times New Roman" w:cs="Times New Roman" w:eastAsia="Times New Roman" w:hAnsi="Times New Roman"/>
          <w:b w:val="1"/>
          <w:sz w:val="24"/>
          <w:szCs w:val="24"/>
          <w:highlight w:val="white"/>
          <w:rtl w:val="0"/>
        </w:rPr>
        <w:t xml:space="preserve">Normas técnicas de profilaxia da raiva humana</w:t>
      </w:r>
      <w:r w:rsidDel="00000000" w:rsidR="00000000" w:rsidRPr="00000000">
        <w:rPr>
          <w:rFonts w:ascii="Times New Roman" w:cs="Times New Roman" w:eastAsia="Times New Roman" w:hAnsi="Times New Roman"/>
          <w:sz w:val="24"/>
          <w:szCs w:val="24"/>
          <w:highlight w:val="white"/>
          <w:rtl w:val="0"/>
        </w:rPr>
        <w:t xml:space="preserve">. Brasília: Ministério da Saúde; 2014a. 60 p. Disponível em: </w:t>
      </w:r>
      <w:r w:rsidDel="00000000" w:rsidR="00000000" w:rsidRPr="00000000">
        <w:rPr>
          <w:rFonts w:ascii="Times New Roman" w:cs="Times New Roman" w:eastAsia="Times New Roman" w:hAnsi="Times New Roman"/>
          <w:sz w:val="24"/>
          <w:szCs w:val="24"/>
          <w:rtl w:val="0"/>
        </w:rPr>
        <w:br w:type="textWrapping"/>
      </w:r>
      <w:hyperlink r:id="rId18">
        <w:r w:rsidDel="00000000" w:rsidR="00000000" w:rsidRPr="00000000">
          <w:rPr>
            <w:rFonts w:ascii="Times New Roman" w:cs="Times New Roman" w:eastAsia="Times New Roman" w:hAnsi="Times New Roman"/>
            <w:color w:val="000000"/>
            <w:sz w:val="24"/>
            <w:szCs w:val="24"/>
            <w:highlight w:val="white"/>
            <w:u w:val="none"/>
            <w:rtl w:val="0"/>
          </w:rPr>
          <w:t xml:space="preserve">http://portalarquivos.saude.gov.br/images/pdf/2015/outubro/19/Normas-tecnicas-profilaxia-raiva.pdf</w:t>
        </w:r>
      </w:hyperlink>
      <w:r w:rsidDel="00000000" w:rsidR="00000000" w:rsidRPr="00000000">
        <w:rPr>
          <w:rtl w:val="0"/>
        </w:rPr>
      </w:r>
    </w:p>
    <w:p w:rsidR="00000000" w:rsidDel="00000000" w:rsidP="00000000" w:rsidRDefault="00000000" w:rsidRPr="00000000" w14:paraId="000000DE">
      <w:pPr>
        <w:spacing w:after="0" w:before="288"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BRASIL. MINISTÉRIO DA SAÚDE. </w:t>
      </w:r>
      <w:r w:rsidDel="00000000" w:rsidR="00000000" w:rsidRPr="00000000">
        <w:rPr>
          <w:rFonts w:ascii="Times New Roman" w:cs="Times New Roman" w:eastAsia="Times New Roman" w:hAnsi="Times New Roman"/>
          <w:b w:val="1"/>
          <w:sz w:val="24"/>
          <w:szCs w:val="24"/>
          <w:rtl w:val="0"/>
        </w:rPr>
        <w:t xml:space="preserve">Portaria 1.271 de 6 de junho de 2014. </w:t>
      </w:r>
      <w:r w:rsidDel="00000000" w:rsidR="00000000" w:rsidRPr="00000000">
        <w:rPr>
          <w:rFonts w:ascii="Times New Roman" w:cs="Times New Roman" w:eastAsia="Times New Roman" w:hAnsi="Times New Roman"/>
          <w:sz w:val="24"/>
          <w:szCs w:val="24"/>
          <w:rtl w:val="0"/>
        </w:rPr>
        <w:t xml:space="preserve">Define a Lista Nacional de Notificação Compulsória de doenças, agravos e eventos de saúde pública nos serviços de saúde públicos e privados em todo o território nacional, nos termos do anexo, e dá outras providências.</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Diário Oficial da República Federativa do Brasil, Brasília (DF), jun., 2014b.</w:t>
      </w:r>
    </w:p>
    <w:p w:rsidR="00000000" w:rsidDel="00000000" w:rsidP="00000000" w:rsidRDefault="00000000" w:rsidRPr="00000000" w14:paraId="000000DF">
      <w:pPr>
        <w:spacing w:after="0" w:before="288"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BRASIL, MINISTÉRIO DA SAÚDE. </w:t>
      </w:r>
      <w:r w:rsidDel="00000000" w:rsidR="00000000" w:rsidRPr="00000000">
        <w:rPr>
          <w:rFonts w:ascii="Times New Roman" w:cs="Times New Roman" w:eastAsia="Times New Roman" w:hAnsi="Times New Roman"/>
          <w:b w:val="1"/>
          <w:sz w:val="24"/>
          <w:szCs w:val="24"/>
          <w:rtl w:val="0"/>
        </w:rPr>
        <w:t xml:space="preserve">Portaria n°204, de 17 de fevereiro de 2016</w:t>
      </w:r>
      <w:r w:rsidDel="00000000" w:rsidR="00000000" w:rsidRPr="00000000">
        <w:rPr>
          <w:rFonts w:ascii="Times New Roman" w:cs="Times New Roman" w:eastAsia="Times New Roman" w:hAnsi="Times New Roman"/>
          <w:sz w:val="24"/>
          <w:szCs w:val="24"/>
          <w:rtl w:val="0"/>
        </w:rPr>
        <w:t xml:space="preserve">. Define a Lista Nacional de Notificação Compulsória de doenças, agravos e eventos de saúde pública nos serviços de saúde públicos e privados em todo o território nacional, nos termos do anexo, e dá outras providências. Diário Oficial da República Federativa do Brasil, Poder Executivo, Brasília, DF.2016</w:t>
      </w:r>
    </w:p>
    <w:p w:rsidR="00000000" w:rsidDel="00000000" w:rsidP="00000000" w:rsidRDefault="00000000" w:rsidRPr="00000000" w14:paraId="000000E0">
      <w:pPr>
        <w:spacing w:after="0" w:before="288"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BRASIL. MINISTÉRIO DA SAÚDE. Secretaria de vigilância em saúde. </w:t>
      </w:r>
      <w:r w:rsidDel="00000000" w:rsidR="00000000" w:rsidRPr="00000000">
        <w:rPr>
          <w:rFonts w:ascii="Times New Roman" w:cs="Times New Roman" w:eastAsia="Times New Roman" w:hAnsi="Times New Roman"/>
          <w:b w:val="1"/>
          <w:sz w:val="24"/>
          <w:szCs w:val="24"/>
          <w:rtl w:val="0"/>
        </w:rPr>
        <w:t xml:space="preserve">Guia de vigilância em saúde. </w:t>
      </w:r>
      <w:r w:rsidDel="00000000" w:rsidR="00000000" w:rsidRPr="00000000">
        <w:rPr>
          <w:rFonts w:ascii="Times New Roman" w:cs="Times New Roman" w:eastAsia="Times New Roman" w:hAnsi="Times New Roman"/>
          <w:sz w:val="24"/>
          <w:szCs w:val="24"/>
          <w:rtl w:val="0"/>
        </w:rPr>
        <w:t xml:space="preserve">Brasília, 2017a. Disponível em:</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https://portalarquivos.saude.gov.br/images/pdf/2017/outubro/06/Volume-Unico-2017.pdf. </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88"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BRASIL. MINISTÉRIO DA SAÚDE.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NOTA INFORMATIVA Nº 26 – SEI/2017 – CGPNI/DEVIT/SVS/MS.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Informa sobre alterações no esquema de vacinação da raiva humana pós-exposição e dá outras providências. 2017b.</w:t>
      </w:r>
    </w:p>
    <w:p w:rsidR="00000000" w:rsidDel="00000000" w:rsidP="00000000" w:rsidRDefault="00000000" w:rsidRPr="00000000" w14:paraId="000000E2">
      <w:pPr>
        <w:spacing w:after="0" w:before="288" w:line="240" w:lineRule="auto"/>
        <w:jc w:val="both"/>
        <w:rPr>
          <w:rFonts w:ascii="Times New Roman" w:cs="Times New Roman" w:eastAsia="Times New Roman" w:hAnsi="Times New Roman"/>
          <w:color w:val="0563c1"/>
          <w:sz w:val="24"/>
          <w:szCs w:val="24"/>
          <w:highlight w:val="white"/>
          <w:u w:val="single"/>
        </w:rPr>
      </w:pPr>
      <w:r w:rsidDel="00000000" w:rsidR="00000000" w:rsidRPr="00000000">
        <w:rPr>
          <w:rFonts w:ascii="Times New Roman" w:cs="Times New Roman" w:eastAsia="Times New Roman" w:hAnsi="Times New Roman"/>
          <w:color w:val="222222"/>
          <w:sz w:val="24"/>
          <w:szCs w:val="24"/>
          <w:highlight w:val="white"/>
          <w:rtl w:val="0"/>
        </w:rPr>
        <w:t xml:space="preserve">BRASIL. MINISTÉRIO DA SAÚDE. Dicionário de Dados SINAN NET versão 5.0. 2018. Disponível em </w:t>
      </w:r>
      <w:hyperlink r:id="rId19">
        <w:r w:rsidDel="00000000" w:rsidR="00000000" w:rsidRPr="00000000">
          <w:rPr>
            <w:rFonts w:ascii="Times New Roman" w:cs="Times New Roman" w:eastAsia="Times New Roman" w:hAnsi="Times New Roman"/>
            <w:color w:val="000000"/>
            <w:sz w:val="24"/>
            <w:szCs w:val="24"/>
            <w:highlight w:val="white"/>
            <w:u w:val="single"/>
            <w:rtl w:val="0"/>
          </w:rPr>
          <w:t xml:space="preserve">http://portalsinan.saude.gov.br/images/documentos/Agravos/Notificacao_Individual/DIC_DADOS_NET---Notificao-Individual_rev.pdf</w:t>
        </w:r>
      </w:hyperlink>
      <w:r w:rsidDel="00000000" w:rsidR="00000000" w:rsidRPr="00000000">
        <w:rPr>
          <w:rtl w:val="0"/>
        </w:rPr>
      </w:r>
    </w:p>
    <w:p w:rsidR="00000000" w:rsidDel="00000000" w:rsidP="00000000" w:rsidRDefault="00000000" w:rsidRPr="00000000" w14:paraId="000000E3">
      <w:pPr>
        <w:spacing w:after="0" w:before="288" w:line="240" w:lineRule="auto"/>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BRASIL. MINISTÉRIO DA SAÚDE. Secretaria de vigilância em saúde. Departamento de vigilância epidemiológica. </w:t>
      </w:r>
      <w:r w:rsidDel="00000000" w:rsidR="00000000" w:rsidRPr="00000000">
        <w:rPr>
          <w:rFonts w:ascii="Times New Roman" w:cs="Times New Roman" w:eastAsia="Times New Roman" w:hAnsi="Times New Roman"/>
          <w:b w:val="1"/>
          <w:color w:val="222222"/>
          <w:sz w:val="24"/>
          <w:szCs w:val="24"/>
          <w:highlight w:val="white"/>
          <w:rtl w:val="0"/>
        </w:rPr>
        <w:t xml:space="preserve">Guia de vigilância em saúde: volume único</w:t>
      </w:r>
      <w:r w:rsidDel="00000000" w:rsidR="00000000" w:rsidRPr="00000000">
        <w:rPr>
          <w:rFonts w:ascii="Times New Roman" w:cs="Times New Roman" w:eastAsia="Times New Roman" w:hAnsi="Times New Roman"/>
          <w:color w:val="222222"/>
          <w:sz w:val="24"/>
          <w:szCs w:val="24"/>
          <w:highlight w:val="white"/>
          <w:rtl w:val="0"/>
        </w:rPr>
        <w:t xml:space="preserve">. 2019. Disponível em: https://bvsms.saude.gov.br/bvs/publicacoes/guia_vigilancia_saude_3ed.pdf </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88"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BRASIL.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INMET - Instituto Nacional de Meteorologia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2020. Disponível em: http://www. inmet.gov.br/portal/index.php?r¼estacoes/estacoes. Acesso em: 29 de jun. 2020.</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88"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BRASIL. Instituto Brasileiro de Geografia e Estatística: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Cidades e Estados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2021 Disponível em: https://www.ibge.gov.br/cidades-e-estados/ba/feira-de-santana.html. </w:t>
      </w:r>
    </w:p>
    <w:p w:rsidR="00000000" w:rsidDel="00000000" w:rsidP="00000000" w:rsidRDefault="00000000" w:rsidRPr="00000000" w14:paraId="000000E6">
      <w:pPr>
        <w:spacing w:after="0" w:before="288"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BRASIL. INSTITUTO BRASILEIRO DE GEOGRAFIA E ESTATÍSTICA - IBGE. </w:t>
      </w:r>
      <w:r w:rsidDel="00000000" w:rsidR="00000000" w:rsidRPr="00000000">
        <w:rPr>
          <w:rFonts w:ascii="Times New Roman" w:cs="Times New Roman" w:eastAsia="Times New Roman" w:hAnsi="Times New Roman"/>
          <w:b w:val="1"/>
          <w:sz w:val="24"/>
          <w:szCs w:val="24"/>
          <w:rtl w:val="0"/>
        </w:rPr>
        <w:t xml:space="preserve">Base de Faces de Logradouros do Brasil. </w:t>
      </w:r>
      <w:r w:rsidDel="00000000" w:rsidR="00000000" w:rsidRPr="00000000">
        <w:rPr>
          <w:rFonts w:ascii="Times New Roman" w:cs="Times New Roman" w:eastAsia="Times New Roman" w:hAnsi="Times New Roman"/>
          <w:sz w:val="24"/>
          <w:szCs w:val="24"/>
          <w:rtl w:val="0"/>
        </w:rPr>
        <w:t xml:space="preserve">2021b.</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Disponível em https://www.ibge.gov.br/geociencias/organizacao-do-territorio/malhas-territoriais/28971-base-de-faces-de-logradouros-do-brasil.html?=&amp;t=downloads</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88"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8">
      <w:pPr>
        <w:spacing w:after="0" w:before="288"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BRASIL.MINISTÉRIO DA SAÚDE. Secretária de vigilância em saúde. Departamento de vigilância epidemiológica. </w:t>
      </w:r>
      <w:r w:rsidDel="00000000" w:rsidR="00000000" w:rsidRPr="00000000">
        <w:rPr>
          <w:rFonts w:ascii="Times New Roman" w:cs="Times New Roman" w:eastAsia="Times New Roman" w:hAnsi="Times New Roman"/>
          <w:b w:val="1"/>
          <w:color w:val="222222"/>
          <w:sz w:val="24"/>
          <w:szCs w:val="24"/>
          <w:highlight w:val="white"/>
          <w:rtl w:val="0"/>
        </w:rPr>
        <w:t xml:space="preserve">NOTA TÉCNICA Nº 96/2022-CGZV/DEIDT/SVS/MS. </w:t>
      </w:r>
      <w:r w:rsidDel="00000000" w:rsidR="00000000" w:rsidRPr="00000000">
        <w:rPr>
          <w:rFonts w:ascii="Times New Roman" w:cs="Times New Roman" w:eastAsia="Times New Roman" w:hAnsi="Times New Roman"/>
          <w:color w:val="222222"/>
          <w:sz w:val="24"/>
          <w:szCs w:val="24"/>
          <w:highlight w:val="white"/>
          <w:rtl w:val="0"/>
        </w:rPr>
        <w:t xml:space="preserve">Brasília, DF, 2022. Disponível em:</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222222"/>
          <w:sz w:val="24"/>
          <w:szCs w:val="24"/>
          <w:highlight w:val="white"/>
          <w:rtl w:val="0"/>
        </w:rPr>
        <w:t xml:space="preserve">https://www.gov.br/saude/pt-br/assuntos/variola-dos-macacos/notas-informativas/nota-tecnica-no-96-2022-cgzv-deidt-svs-ms/@@download/file/recomenda%C3%A7%C3%B5es%20manejo%20de%20animais%20de%20companhia%20-%20monkeypox%20-%2008.09.2022%20(1).pdf</w:t>
      </w:r>
      <w:r w:rsidDel="00000000" w:rsidR="00000000" w:rsidRPr="00000000">
        <w:rPr>
          <w:rtl w:val="0"/>
        </w:rPr>
      </w:r>
    </w:p>
    <w:p w:rsidR="00000000" w:rsidDel="00000000" w:rsidP="00000000" w:rsidRDefault="00000000" w:rsidRPr="00000000" w14:paraId="000000E9">
      <w:pPr>
        <w:spacing w:after="0" w:before="288"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BRITO, W. I, P. A. Análise das condutas profiláticas da raiva humana realizadas em Primavera do Leste/MT, 2011: avaliação sobre o uso dos insumos. </w:t>
      </w:r>
      <w:r w:rsidDel="00000000" w:rsidR="00000000" w:rsidRPr="00000000">
        <w:rPr>
          <w:rFonts w:ascii="Times New Roman" w:cs="Times New Roman" w:eastAsia="Times New Roman" w:hAnsi="Times New Roman"/>
          <w:b w:val="1"/>
          <w:sz w:val="24"/>
          <w:szCs w:val="24"/>
          <w:highlight w:val="white"/>
          <w:rtl w:val="0"/>
        </w:rPr>
        <w:t xml:space="preserve">Rev Epidemiol Control Infect</w:t>
      </w:r>
      <w:r w:rsidDel="00000000" w:rsidR="00000000" w:rsidRPr="00000000">
        <w:rPr>
          <w:rFonts w:ascii="Times New Roman" w:cs="Times New Roman" w:eastAsia="Times New Roman" w:hAnsi="Times New Roman"/>
          <w:sz w:val="24"/>
          <w:szCs w:val="24"/>
          <w:highlight w:val="white"/>
          <w:rtl w:val="0"/>
        </w:rPr>
        <w:t xml:space="preserve">. Santa Cruz do Sul, RS, v. 3, n. 3, p. 87-92, 2013.Disponível em: </w:t>
      </w:r>
      <w:hyperlink r:id="rId20">
        <w:r w:rsidDel="00000000" w:rsidR="00000000" w:rsidRPr="00000000">
          <w:rPr>
            <w:rFonts w:ascii="Times New Roman" w:cs="Times New Roman" w:eastAsia="Times New Roman" w:hAnsi="Times New Roman"/>
            <w:color w:val="000000"/>
            <w:sz w:val="21"/>
            <w:szCs w:val="21"/>
            <w:highlight w:val="white"/>
            <w:u w:val="none"/>
            <w:rtl w:val="0"/>
          </w:rPr>
          <w:t xml:space="preserve">https://doi.org/10.17058/reci.v3i3.3700</w:t>
        </w:r>
      </w:hyperlink>
      <w:r w:rsidDel="00000000" w:rsidR="00000000" w:rsidRPr="00000000">
        <w:rPr>
          <w:rtl w:val="0"/>
        </w:rPr>
      </w:r>
    </w:p>
    <w:p w:rsidR="00000000" w:rsidDel="00000000" w:rsidP="00000000" w:rsidRDefault="00000000" w:rsidRPr="00000000" w14:paraId="000000EA">
      <w:pPr>
        <w:spacing w:after="0" w:before="288"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BUSS, P. M.</w:t>
      </w:r>
      <w:r w:rsidDel="00000000" w:rsidR="00000000" w:rsidRPr="00000000">
        <w:rPr>
          <w:rFonts w:ascii="Times New Roman" w:cs="Times New Roman" w:eastAsia="Times New Roman" w:hAnsi="Times New Roman"/>
          <w:i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A saúde e seus determinantes sociais. </w:t>
      </w:r>
      <w:r w:rsidDel="00000000" w:rsidR="00000000" w:rsidRPr="00000000">
        <w:rPr>
          <w:rFonts w:ascii="Times New Roman" w:cs="Times New Roman" w:eastAsia="Times New Roman" w:hAnsi="Times New Roman"/>
          <w:b w:val="1"/>
          <w:sz w:val="24"/>
          <w:szCs w:val="24"/>
          <w:rtl w:val="0"/>
        </w:rPr>
        <w:t xml:space="preserve">Revista de Saúde coletiva</w:t>
      </w:r>
      <w:r w:rsidDel="00000000" w:rsidR="00000000" w:rsidRPr="00000000">
        <w:rPr>
          <w:rFonts w:ascii="Times New Roman" w:cs="Times New Roman" w:eastAsia="Times New Roman" w:hAnsi="Times New Roman"/>
          <w:sz w:val="24"/>
          <w:szCs w:val="24"/>
          <w:rtl w:val="0"/>
        </w:rPr>
        <w:t xml:space="preserve">, Rio de Janeiro, RJ, v. 17, p. 77-93, 2007. Disponível em: </w:t>
      </w:r>
      <w:hyperlink r:id="rId21">
        <w:r w:rsidDel="00000000" w:rsidR="00000000" w:rsidRPr="00000000">
          <w:rPr>
            <w:rFonts w:ascii="Times New Roman" w:cs="Times New Roman" w:eastAsia="Times New Roman" w:hAnsi="Times New Roman"/>
            <w:color w:val="000000"/>
            <w:sz w:val="24"/>
            <w:szCs w:val="24"/>
            <w:u w:val="none"/>
            <w:rtl w:val="0"/>
          </w:rPr>
          <w:t xml:space="preserve">https://doi.org/10.1590/S0103-73312007000100006</w:t>
        </w:r>
      </w:hyperlink>
      <w:r w:rsidDel="00000000" w:rsidR="00000000" w:rsidRPr="00000000">
        <w:rPr>
          <w:rFonts w:ascii="Times New Roman" w:cs="Times New Roman" w:eastAsia="Times New Roman" w:hAnsi="Times New Roman"/>
          <w:sz w:val="24"/>
          <w:szCs w:val="24"/>
          <w:highlight w:val="white"/>
          <w:rtl w:val="0"/>
        </w:rPr>
        <w:t xml:space="preserve">.</w:t>
      </w:r>
      <w:r w:rsidDel="00000000" w:rsidR="00000000" w:rsidRPr="00000000">
        <w:rPr>
          <w:rtl w:val="0"/>
        </w:rPr>
      </w:r>
    </w:p>
    <w:p w:rsidR="00000000" w:rsidDel="00000000" w:rsidP="00000000" w:rsidRDefault="00000000" w:rsidRPr="00000000" w14:paraId="000000EB">
      <w:pPr>
        <w:spacing w:after="0" w:before="288"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COMISSÃO NACIONAL SOBRE OS DETERMINANTES SOCIAIS DA SAÚDE (CNDSS). </w:t>
      </w:r>
      <w:r w:rsidDel="00000000" w:rsidR="00000000" w:rsidRPr="00000000">
        <w:rPr>
          <w:rFonts w:ascii="Times New Roman" w:cs="Times New Roman" w:eastAsia="Times New Roman" w:hAnsi="Times New Roman"/>
          <w:i w:val="1"/>
          <w:sz w:val="24"/>
          <w:szCs w:val="24"/>
          <w:highlight w:val="white"/>
          <w:rtl w:val="0"/>
        </w:rPr>
        <w:t xml:space="preserve">Carta aberta aos candidatos à Presidência da República</w:t>
      </w:r>
      <w:r w:rsidDel="00000000" w:rsidR="00000000" w:rsidRPr="00000000">
        <w:rPr>
          <w:rFonts w:ascii="Times New Roman" w:cs="Times New Roman" w:eastAsia="Times New Roman" w:hAnsi="Times New Roman"/>
          <w:sz w:val="24"/>
          <w:szCs w:val="24"/>
          <w:highlight w:val="white"/>
          <w:rtl w:val="0"/>
        </w:rPr>
        <w:t xml:space="preserve">. Setembro de 2006. Disponível em: </w:t>
      </w:r>
      <w:hyperlink r:id="rId22">
        <w:r w:rsidDel="00000000" w:rsidR="00000000" w:rsidRPr="00000000">
          <w:rPr>
            <w:rFonts w:ascii="Times New Roman" w:cs="Times New Roman" w:eastAsia="Times New Roman" w:hAnsi="Times New Roman"/>
            <w:color w:val="000000"/>
            <w:sz w:val="24"/>
            <w:szCs w:val="24"/>
            <w:u w:val="single"/>
            <w:rtl w:val="0"/>
          </w:rPr>
          <w:t xml:space="preserve">www.determinantes.fiocruz.br</w:t>
        </w:r>
      </w:hyperlink>
      <w:r w:rsidDel="00000000" w:rsidR="00000000" w:rsidRPr="00000000">
        <w:rPr>
          <w:rFonts w:ascii="Times New Roman" w:cs="Times New Roman" w:eastAsia="Times New Roman" w:hAnsi="Times New Roman"/>
          <w:color w:val="000000"/>
          <w:sz w:val="24"/>
          <w:szCs w:val="24"/>
          <w:highlight w:val="white"/>
          <w:rtl w:val="0"/>
        </w:rPr>
        <w:t xml:space="preserve">.      </w:t>
      </w:r>
      <w:r w:rsidDel="00000000" w:rsidR="00000000" w:rsidRPr="00000000">
        <w:rPr>
          <w:rtl w:val="0"/>
        </w:rPr>
      </w:r>
    </w:p>
    <w:p w:rsidR="00000000" w:rsidDel="00000000" w:rsidP="00000000" w:rsidRDefault="00000000" w:rsidRPr="00000000" w14:paraId="000000EC">
      <w:pPr>
        <w:spacing w:after="0" w:before="288" w:line="240" w:lineRule="auto"/>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COSTA, W. A. D. </w:t>
      </w:r>
      <w:r w:rsidDel="00000000" w:rsidR="00000000" w:rsidRPr="00000000">
        <w:rPr>
          <w:rFonts w:ascii="Times New Roman" w:cs="Times New Roman" w:eastAsia="Times New Roman" w:hAnsi="Times New Roman"/>
          <w:i w:val="1"/>
          <w:color w:val="222222"/>
          <w:sz w:val="24"/>
          <w:szCs w:val="24"/>
          <w:highlight w:val="white"/>
          <w:rtl w:val="0"/>
        </w:rPr>
        <w:t xml:space="preserve">et al</w:t>
      </w:r>
      <w:r w:rsidDel="00000000" w:rsidR="00000000" w:rsidRPr="00000000">
        <w:rPr>
          <w:rFonts w:ascii="Times New Roman" w:cs="Times New Roman" w:eastAsia="Times New Roman" w:hAnsi="Times New Roman"/>
          <w:color w:val="222222"/>
          <w:sz w:val="24"/>
          <w:szCs w:val="24"/>
          <w:highlight w:val="white"/>
          <w:rtl w:val="0"/>
        </w:rPr>
        <w:t xml:space="preserve">. Manual técnico do Instituto Pasteur: profilaxia da raiva humana. In: </w:t>
      </w:r>
      <w:r w:rsidDel="00000000" w:rsidR="00000000" w:rsidRPr="00000000">
        <w:rPr>
          <w:rFonts w:ascii="Times New Roman" w:cs="Times New Roman" w:eastAsia="Times New Roman" w:hAnsi="Times New Roman"/>
          <w:b w:val="1"/>
          <w:color w:val="222222"/>
          <w:sz w:val="24"/>
          <w:szCs w:val="24"/>
          <w:highlight w:val="white"/>
          <w:rtl w:val="0"/>
        </w:rPr>
        <w:t xml:space="preserve">Manual Técnico do Instituto Pasteur: profilaxia da raiva humana</w:t>
      </w:r>
      <w:r w:rsidDel="00000000" w:rsidR="00000000" w:rsidRPr="00000000">
        <w:rPr>
          <w:rFonts w:ascii="Times New Roman" w:cs="Times New Roman" w:eastAsia="Times New Roman" w:hAnsi="Times New Roman"/>
          <w:color w:val="222222"/>
          <w:sz w:val="24"/>
          <w:szCs w:val="24"/>
          <w:highlight w:val="white"/>
          <w:rtl w:val="0"/>
        </w:rPr>
        <w:t xml:space="preserve">. 2° edição, São Paulo., 2000, p. 33</w:t>
      </w:r>
    </w:p>
    <w:p w:rsidR="00000000" w:rsidDel="00000000" w:rsidP="00000000" w:rsidRDefault="00000000" w:rsidRPr="00000000" w14:paraId="000000ED">
      <w:pPr>
        <w:spacing w:after="0" w:before="288"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DA COSTA, W. </w:t>
      </w:r>
      <w:r w:rsidDel="00000000" w:rsidR="00000000" w:rsidRPr="00000000">
        <w:rPr>
          <w:rFonts w:ascii="Times New Roman" w:cs="Times New Roman" w:eastAsia="Times New Roman" w:hAnsi="Times New Roman"/>
          <w:i w:val="1"/>
          <w:sz w:val="24"/>
          <w:szCs w:val="24"/>
          <w:highlight w:val="white"/>
          <w:rtl w:val="0"/>
        </w:rPr>
        <w:t xml:space="preserve">A et al.</w:t>
      </w:r>
      <w:r w:rsidDel="00000000" w:rsidR="00000000" w:rsidRPr="00000000">
        <w:rPr>
          <w:rFonts w:ascii="Times New Roman" w:cs="Times New Roman" w:eastAsia="Times New Roman" w:hAnsi="Times New Roman"/>
          <w:sz w:val="24"/>
          <w:szCs w:val="24"/>
          <w:highlight w:val="white"/>
          <w:rtl w:val="0"/>
        </w:rPr>
        <w:t xml:space="preserve"> Aspectos práticos na prevenção da raiva humana. </w:t>
      </w:r>
      <w:r w:rsidDel="00000000" w:rsidR="00000000" w:rsidRPr="00000000">
        <w:rPr>
          <w:rFonts w:ascii="Times New Roman" w:cs="Times New Roman" w:eastAsia="Times New Roman" w:hAnsi="Times New Roman"/>
          <w:b w:val="1"/>
          <w:sz w:val="24"/>
          <w:szCs w:val="24"/>
          <w:highlight w:val="white"/>
          <w:rtl w:val="0"/>
        </w:rPr>
        <w:t xml:space="preserve">Jornal de Pediatria</w:t>
      </w:r>
      <w:r w:rsidDel="00000000" w:rsidR="00000000" w:rsidRPr="00000000">
        <w:rPr>
          <w:rFonts w:ascii="Times New Roman" w:cs="Times New Roman" w:eastAsia="Times New Roman" w:hAnsi="Times New Roman"/>
          <w:sz w:val="24"/>
          <w:szCs w:val="24"/>
          <w:highlight w:val="white"/>
          <w:rtl w:val="0"/>
        </w:rPr>
        <w:t xml:space="preserve">, São Paulo, v. 75, n. 1, p. 135, 1999.</w:t>
      </w:r>
    </w:p>
    <w:p w:rsidR="00000000" w:rsidDel="00000000" w:rsidP="00000000" w:rsidRDefault="00000000" w:rsidRPr="00000000" w14:paraId="000000EE">
      <w:pPr>
        <w:spacing w:after="0" w:before="288"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DE OLIVEIRA-NETO, R. R. </w:t>
      </w:r>
      <w:r w:rsidDel="00000000" w:rsidR="00000000" w:rsidRPr="00000000">
        <w:rPr>
          <w:rFonts w:ascii="Times New Roman" w:cs="Times New Roman" w:eastAsia="Times New Roman" w:hAnsi="Times New Roman"/>
          <w:i w:val="1"/>
          <w:sz w:val="24"/>
          <w:szCs w:val="24"/>
          <w:highlight w:val="white"/>
          <w:rtl w:val="0"/>
        </w:rPr>
        <w:t xml:space="preserve">et al</w:t>
      </w:r>
      <w:r w:rsidDel="00000000" w:rsidR="00000000" w:rsidRPr="00000000">
        <w:rPr>
          <w:rFonts w:ascii="Times New Roman" w:cs="Times New Roman" w:eastAsia="Times New Roman" w:hAnsi="Times New Roman"/>
          <w:sz w:val="24"/>
          <w:szCs w:val="24"/>
          <w:highlight w:val="white"/>
          <w:rtl w:val="0"/>
        </w:rPr>
        <w:t xml:space="preserve">. Nível de conhecimento de tutores de cães e gatos sobre zoonoses. </w:t>
      </w:r>
      <w:r w:rsidDel="00000000" w:rsidR="00000000" w:rsidRPr="00000000">
        <w:rPr>
          <w:rFonts w:ascii="Times New Roman" w:cs="Times New Roman" w:eastAsia="Times New Roman" w:hAnsi="Times New Roman"/>
          <w:b w:val="1"/>
          <w:sz w:val="24"/>
          <w:szCs w:val="24"/>
          <w:highlight w:val="white"/>
          <w:rtl w:val="0"/>
        </w:rPr>
        <w:t xml:space="preserve">Revista de Salud Pública</w:t>
      </w:r>
      <w:r w:rsidDel="00000000" w:rsidR="00000000" w:rsidRPr="00000000">
        <w:rPr>
          <w:rFonts w:ascii="Times New Roman" w:cs="Times New Roman" w:eastAsia="Times New Roman" w:hAnsi="Times New Roman"/>
          <w:sz w:val="24"/>
          <w:szCs w:val="24"/>
          <w:highlight w:val="white"/>
          <w:rtl w:val="0"/>
        </w:rPr>
        <w:t xml:space="preserve">, v. 20, p. 198-203, 2018. Disponível em: </w:t>
      </w:r>
      <w:hyperlink r:id="rId23">
        <w:r w:rsidDel="00000000" w:rsidR="00000000" w:rsidRPr="00000000">
          <w:rPr>
            <w:rFonts w:ascii="Times New Roman" w:cs="Times New Roman" w:eastAsia="Times New Roman" w:hAnsi="Times New Roman"/>
            <w:color w:val="000000"/>
            <w:sz w:val="24"/>
            <w:szCs w:val="24"/>
            <w:highlight w:val="white"/>
            <w:u w:val="none"/>
            <w:rtl w:val="0"/>
          </w:rPr>
          <w:t xml:space="preserve">https://doi.org/10.15446/rsap.V20n2.68155</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highlight w:val="white"/>
          <w:rtl w:val="0"/>
        </w:rPr>
        <w:t xml:space="preserve">   </w:t>
      </w:r>
    </w:p>
    <w:p w:rsidR="00000000" w:rsidDel="00000000" w:rsidP="00000000" w:rsidRDefault="00000000" w:rsidRPr="00000000" w14:paraId="000000EF">
      <w:pPr>
        <w:spacing w:after="0" w:before="288"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DO VALE FREITAS, L. R. </w:t>
      </w:r>
      <w:r w:rsidDel="00000000" w:rsidR="00000000" w:rsidRPr="00000000">
        <w:rPr>
          <w:rFonts w:ascii="Times New Roman" w:cs="Times New Roman" w:eastAsia="Times New Roman" w:hAnsi="Times New Roman"/>
          <w:i w:val="1"/>
          <w:sz w:val="24"/>
          <w:szCs w:val="24"/>
          <w:highlight w:val="white"/>
          <w:rtl w:val="0"/>
        </w:rPr>
        <w:t xml:space="preserve">et al</w:t>
      </w:r>
      <w:r w:rsidDel="00000000" w:rsidR="00000000" w:rsidRPr="00000000">
        <w:rPr>
          <w:rFonts w:ascii="Times New Roman" w:cs="Times New Roman" w:eastAsia="Times New Roman" w:hAnsi="Times New Roman"/>
          <w:sz w:val="24"/>
          <w:szCs w:val="24"/>
          <w:highlight w:val="white"/>
          <w:rtl w:val="0"/>
        </w:rPr>
        <w:t xml:space="preserve">. A Fatores Associados ao Abandono do Esquema de Profilaxia da Raiva Humana Pós-Exposição em Paço do Lumiar, Maranhão, de 2013 à 2015. </w:t>
      </w:r>
      <w:r w:rsidDel="00000000" w:rsidR="00000000" w:rsidRPr="00000000">
        <w:rPr>
          <w:rFonts w:ascii="Times New Roman" w:cs="Times New Roman" w:eastAsia="Times New Roman" w:hAnsi="Times New Roman"/>
          <w:b w:val="1"/>
          <w:sz w:val="24"/>
          <w:szCs w:val="24"/>
          <w:highlight w:val="white"/>
          <w:rtl w:val="0"/>
        </w:rPr>
        <w:t xml:space="preserve">Antena Editora, 2019.Ponta Grossa, PR, v. 5,</w:t>
      </w:r>
      <w:r w:rsidDel="00000000" w:rsidR="00000000" w:rsidRPr="00000000">
        <w:rPr>
          <w:rFonts w:ascii="Times New Roman" w:cs="Times New Roman" w:eastAsia="Times New Roman" w:hAnsi="Times New Roman"/>
          <w:sz w:val="24"/>
          <w:szCs w:val="24"/>
          <w:highlight w:val="white"/>
          <w:rtl w:val="0"/>
        </w:rPr>
        <w:t xml:space="preserve"> n. 1, p. 388–416.2019.</w:t>
      </w:r>
      <w:r w:rsidDel="00000000" w:rsidR="00000000" w:rsidRPr="00000000">
        <w:rPr>
          <w:rtl w:val="0"/>
        </w:rPr>
      </w:r>
    </w:p>
    <w:p w:rsidR="00000000" w:rsidDel="00000000" w:rsidP="00000000" w:rsidRDefault="00000000" w:rsidRPr="00000000" w14:paraId="000000F0">
      <w:pPr>
        <w:spacing w:after="0" w:before="288"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DUARTE, N. F. H. </w:t>
      </w:r>
      <w:r w:rsidDel="00000000" w:rsidR="00000000" w:rsidRPr="00000000">
        <w:rPr>
          <w:rFonts w:ascii="Times New Roman" w:cs="Times New Roman" w:eastAsia="Times New Roman" w:hAnsi="Times New Roman"/>
          <w:i w:val="1"/>
          <w:sz w:val="24"/>
          <w:szCs w:val="24"/>
          <w:highlight w:val="white"/>
          <w:rtl w:val="0"/>
        </w:rPr>
        <w:t xml:space="preserve">et al</w:t>
      </w:r>
      <w:r w:rsidDel="00000000" w:rsidR="00000000" w:rsidRPr="00000000">
        <w:rPr>
          <w:rFonts w:ascii="Times New Roman" w:cs="Times New Roman" w:eastAsia="Times New Roman" w:hAnsi="Times New Roman"/>
          <w:sz w:val="24"/>
          <w:szCs w:val="24"/>
          <w:highlight w:val="white"/>
          <w:rtl w:val="0"/>
        </w:rPr>
        <w:t xml:space="preserve">. Epidemiología de la rabia humana en el estado de Ceará, Brasil, 1970 a 2019. </w:t>
      </w:r>
      <w:r w:rsidDel="00000000" w:rsidR="00000000" w:rsidRPr="00000000">
        <w:rPr>
          <w:rFonts w:ascii="Times New Roman" w:cs="Times New Roman" w:eastAsia="Times New Roman" w:hAnsi="Times New Roman"/>
          <w:b w:val="1"/>
          <w:sz w:val="24"/>
          <w:szCs w:val="24"/>
          <w:highlight w:val="white"/>
          <w:rtl w:val="0"/>
        </w:rPr>
        <w:t xml:space="preserve">Epidemiologia e Serviços de Saúde</w:t>
      </w:r>
      <w:r w:rsidDel="00000000" w:rsidR="00000000" w:rsidRPr="00000000">
        <w:rPr>
          <w:rFonts w:ascii="Times New Roman" w:cs="Times New Roman" w:eastAsia="Times New Roman" w:hAnsi="Times New Roman"/>
          <w:sz w:val="24"/>
          <w:szCs w:val="24"/>
          <w:highlight w:val="white"/>
          <w:rtl w:val="0"/>
        </w:rPr>
        <w:t xml:space="preserve">, v. 30, n. 1, 2021. </w:t>
      </w:r>
      <w:r w:rsidDel="00000000" w:rsidR="00000000" w:rsidRPr="00000000">
        <w:rPr>
          <w:rFonts w:ascii="Times New Roman" w:cs="Times New Roman" w:eastAsia="Times New Roman" w:hAnsi="Times New Roman"/>
          <w:color w:val="403d39"/>
          <w:sz w:val="24"/>
          <w:szCs w:val="24"/>
          <w:highlight w:val="white"/>
          <w:rtl w:val="0"/>
        </w:rPr>
        <w:t xml:space="preserve">Disponível em: https://doi.org/10.1590/S1679-49742021000100010</w:t>
      </w: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8" w:line="240" w:lineRule="auto"/>
        <w:ind w:left="0" w:right="0" w:firstLine="0"/>
        <w:jc w:val="both"/>
        <w:rPr>
          <w:rFonts w:ascii="Times New Roman" w:cs="Times New Roman" w:eastAsia="Times New Roman" w:hAnsi="Times New Roman"/>
          <w:b w:val="0"/>
          <w:i w:val="0"/>
          <w:smallCaps w:val="0"/>
          <w:strike w:val="0"/>
          <w:color w:val="222222"/>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highlight w:val="white"/>
          <w:u w:val="none"/>
          <w:vertAlign w:val="baseline"/>
          <w:rtl w:val="0"/>
        </w:rPr>
        <w:t xml:space="preserve">ESTIMA, N. M. </w:t>
      </w:r>
      <w:r w:rsidDel="00000000" w:rsidR="00000000" w:rsidRPr="00000000">
        <w:rPr>
          <w:rFonts w:ascii="Times New Roman" w:cs="Times New Roman" w:eastAsia="Times New Roman" w:hAnsi="Times New Roman"/>
          <w:b w:val="0"/>
          <w:i w:val="1"/>
          <w:smallCaps w:val="0"/>
          <w:strike w:val="0"/>
          <w:color w:val="222222"/>
          <w:sz w:val="24"/>
          <w:szCs w:val="24"/>
          <w:highlight w:val="white"/>
          <w:u w:val="none"/>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222222"/>
          <w:sz w:val="24"/>
          <w:szCs w:val="24"/>
          <w:highlight w:val="white"/>
          <w:u w:val="none"/>
          <w:vertAlign w:val="baseline"/>
          <w:rtl w:val="0"/>
        </w:rPr>
        <w:t xml:space="preserve">. Descrição das notificações de atendimento antirrábico humano para profilaxia pós-exposição no Brasil, 2014-2019. </w:t>
      </w:r>
      <w:r w:rsidDel="00000000" w:rsidR="00000000" w:rsidRPr="00000000">
        <w:rPr>
          <w:rFonts w:ascii="Times New Roman" w:cs="Times New Roman" w:eastAsia="Times New Roman" w:hAnsi="Times New Roman"/>
          <w:b w:val="1"/>
          <w:i w:val="0"/>
          <w:smallCaps w:val="0"/>
          <w:strike w:val="0"/>
          <w:color w:val="222222"/>
          <w:sz w:val="24"/>
          <w:szCs w:val="24"/>
          <w:highlight w:val="white"/>
          <w:u w:val="none"/>
          <w:vertAlign w:val="baseline"/>
          <w:rtl w:val="0"/>
        </w:rPr>
        <w:t xml:space="preserve">Epidemiologia e Serviços de Saúde</w:t>
      </w:r>
      <w:r w:rsidDel="00000000" w:rsidR="00000000" w:rsidRPr="00000000">
        <w:rPr>
          <w:rFonts w:ascii="Times New Roman" w:cs="Times New Roman" w:eastAsia="Times New Roman" w:hAnsi="Times New Roman"/>
          <w:b w:val="0"/>
          <w:i w:val="0"/>
          <w:smallCaps w:val="0"/>
          <w:strike w:val="0"/>
          <w:color w:val="222222"/>
          <w:sz w:val="24"/>
          <w:szCs w:val="24"/>
          <w:highlight w:val="white"/>
          <w:u w:val="none"/>
          <w:vertAlign w:val="baseline"/>
          <w:rtl w:val="0"/>
        </w:rPr>
        <w:t xml:space="preserve">, v. 31, 2022.</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8"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FERNANDES, C. G.; Raiva. Doenças de ruminantes e eqüinos. 2 ed. São Paulo.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Varela Editora e Livraria ltda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v.1, p. 149-162. 2003.</w:t>
      </w: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8"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FILGUEIRA, A.C.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Profilaxia antirrábica humana: uma análise exploratória dos atendimentos ocorridos em Salgueiro-PE, no ano de 2007.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Epidemiologia e Serviços de Saúde</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v. 20, n. 2, p. 233-244, 2011.</w:t>
      </w:r>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8"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FORTES, F. S.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Acidentes por mordeduras de cães e gatos no município de Pinhais, Brasil de 2002 a 2005.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Archives of veterinary science</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v. 12, n. 2, 2007.</w:t>
      </w: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8"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FRIAS, D. F. R.; NUNES, J. O. R.; CARVALHO, A. A. B. Characterization of injuries caused by dogs and cats to humans in the municipality of jaboticabal, são paulo, between the years 2000 and 2009.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Archives of Veterinary Science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 17, n. 3, p. 63-70, 2012.</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8"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GRISÓLIO, A. P. R.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Atendimento antirrábico humano pós-exposição: proposta de intervenção e estudo do comportamento de cães e gatos envolvidos nos agravos.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2014</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101 f. Dissertação (Mestrado) - Universidade Estadual Paulista Júlio de Mesquita Filho, Faculdade de Ciências Agrárias e Veterinárias de Jaboticabal, 2014. Disponível em: </w:t>
      </w:r>
      <w:hyperlink r:id="rId24">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http://hdl.handle.net/11449/110622</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8"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GOMES, M. C.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“Sai o Morcego a Passear, São Horas de Cear”: Agravos por Quirópteros a Humanos e a Percepção de Profissionais de Saúde, no Município de Feira de Santana, Bahia, Brasil.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2021. 111 f. Tese (Doutorado em Ciência Animal nos Trópicos) - Universidade Federal da Bahia. Bahia, 2021</w:t>
      </w:r>
    </w:p>
    <w:p w:rsidR="00000000" w:rsidDel="00000000" w:rsidP="00000000" w:rsidRDefault="00000000" w:rsidRPr="00000000" w14:paraId="000000F8">
      <w:pPr>
        <w:spacing w:after="0" w:before="288"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GOOGLE. </w:t>
      </w:r>
      <w:r w:rsidDel="00000000" w:rsidR="00000000" w:rsidRPr="00000000">
        <w:rPr>
          <w:rFonts w:ascii="Times New Roman" w:cs="Times New Roman" w:eastAsia="Times New Roman" w:hAnsi="Times New Roman"/>
          <w:b w:val="1"/>
          <w:sz w:val="24"/>
          <w:szCs w:val="24"/>
          <w:rtl w:val="0"/>
        </w:rPr>
        <w:t xml:space="preserve">Formulários Google:</w:t>
      </w:r>
      <w:r w:rsidDel="00000000" w:rsidR="00000000" w:rsidRPr="00000000">
        <w:rPr>
          <w:rFonts w:ascii="Times New Roman" w:cs="Times New Roman" w:eastAsia="Times New Roman" w:hAnsi="Times New Roman"/>
          <w:sz w:val="24"/>
          <w:szCs w:val="24"/>
          <w:rtl w:val="0"/>
        </w:rPr>
        <w:t xml:space="preserve"> crie e análise pesquisas gratuitamente. Disponível em https://www.google.com/intl/pt-BR/forms/about/.</w:t>
      </w:r>
    </w:p>
    <w:p w:rsidR="00000000" w:rsidDel="00000000" w:rsidP="00000000" w:rsidRDefault="00000000" w:rsidRPr="00000000" w14:paraId="000000F9">
      <w:pPr>
        <w:spacing w:after="0" w:before="288"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MASCARENHAS, M. T. V. L. </w:t>
      </w:r>
      <w:r w:rsidDel="00000000" w:rsidR="00000000" w:rsidRPr="00000000">
        <w:rPr>
          <w:rFonts w:ascii="Times New Roman" w:cs="Times New Roman" w:eastAsia="Times New Roman" w:hAnsi="Times New Roman"/>
          <w:i w:val="1"/>
          <w:sz w:val="24"/>
          <w:szCs w:val="24"/>
          <w:highlight w:val="white"/>
          <w:rtl w:val="0"/>
        </w:rPr>
        <w:t xml:space="preserve">et al</w:t>
      </w:r>
      <w:r w:rsidDel="00000000" w:rsidR="00000000" w:rsidRPr="00000000">
        <w:rPr>
          <w:rFonts w:ascii="Times New Roman" w:cs="Times New Roman" w:eastAsia="Times New Roman" w:hAnsi="Times New Roman"/>
          <w:sz w:val="24"/>
          <w:szCs w:val="24"/>
          <w:highlight w:val="white"/>
          <w:rtl w:val="0"/>
        </w:rPr>
        <w:t xml:space="preserve">. Análise espacial dos dados do programa de profilaxia da raiva no município de Lauro de Freitas, Bahia, Brasil, no período de 1999-2004. </w:t>
      </w:r>
      <w:r w:rsidDel="00000000" w:rsidR="00000000" w:rsidRPr="00000000">
        <w:rPr>
          <w:rFonts w:ascii="Times New Roman" w:cs="Times New Roman" w:eastAsia="Times New Roman" w:hAnsi="Times New Roman"/>
          <w:b w:val="1"/>
          <w:sz w:val="24"/>
          <w:szCs w:val="24"/>
          <w:highlight w:val="white"/>
          <w:rtl w:val="0"/>
        </w:rPr>
        <w:t xml:space="preserve">Revista baiana de saúde pública</w:t>
      </w:r>
      <w:r w:rsidDel="00000000" w:rsidR="00000000" w:rsidRPr="00000000">
        <w:rPr>
          <w:rFonts w:ascii="Times New Roman" w:cs="Times New Roman" w:eastAsia="Times New Roman" w:hAnsi="Times New Roman"/>
          <w:sz w:val="24"/>
          <w:szCs w:val="24"/>
          <w:highlight w:val="white"/>
          <w:rtl w:val="0"/>
        </w:rPr>
        <w:t xml:space="preserve">, v. 36, n. 1, p. 207-207, 2012.</w:t>
      </w:r>
    </w:p>
    <w:p w:rsidR="00000000" w:rsidDel="00000000" w:rsidP="00000000" w:rsidRDefault="00000000" w:rsidRPr="00000000" w14:paraId="000000FA">
      <w:pPr>
        <w:spacing w:after="0" w:before="288"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MENEZES, J. S</w:t>
      </w:r>
      <w:r w:rsidDel="00000000" w:rsidR="00000000" w:rsidRPr="00000000">
        <w:rPr>
          <w:rFonts w:ascii="Times New Roman" w:cs="Times New Roman" w:eastAsia="Times New Roman" w:hAnsi="Times New Roman"/>
          <w:b w:val="1"/>
          <w:sz w:val="24"/>
          <w:szCs w:val="24"/>
          <w:highlight w:val="white"/>
          <w:rtl w:val="0"/>
        </w:rPr>
        <w:t xml:space="preserve">. Profilaxia da Raiva Humana no Estado do Tocantins, 2013 a 2015</w:t>
      </w:r>
      <w:r w:rsidDel="00000000" w:rsidR="00000000" w:rsidRPr="00000000">
        <w:rPr>
          <w:rFonts w:ascii="Times New Roman" w:cs="Times New Roman" w:eastAsia="Times New Roman" w:hAnsi="Times New Roman"/>
          <w:sz w:val="24"/>
          <w:szCs w:val="24"/>
          <w:highlight w:val="white"/>
          <w:rtl w:val="0"/>
        </w:rPr>
        <w:t xml:space="preserve">. 2017. 62 f. Dissertação (Mestrado Profissional (ISC) - Universidade Federal da Bahia- UFBA. 2017. Disponível em: </w:t>
      </w:r>
      <w:r w:rsidDel="00000000" w:rsidR="00000000" w:rsidRPr="00000000">
        <w:rPr>
          <w:rFonts w:ascii="Times New Roman" w:cs="Times New Roman" w:eastAsia="Times New Roman" w:hAnsi="Times New Roman"/>
          <w:sz w:val="24"/>
          <w:szCs w:val="24"/>
          <w:rtl w:val="0"/>
        </w:rPr>
        <w:t xml:space="preserve">http://repositorio.ufba.br/ri/handle/ri/26070.</w:t>
      </w: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88"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MIRANDA, C. F. J.; SILVA, J. A.; MOREIRA, É. C. Raiva humana transmitida por cães: áreas de risco em Minas Gerais, Brasil, 1991-1999.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Cadernos de Saúde Pública</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v. 19, p. 91-99, 2003.</w:t>
      </w:r>
      <w:r w:rsidDel="00000000" w:rsidR="00000000" w:rsidRPr="00000000">
        <w:rPr>
          <w:rtl w:val="0"/>
        </w:rPr>
      </w:r>
    </w:p>
    <w:p w:rsidR="00000000" w:rsidDel="00000000" w:rsidP="00000000" w:rsidRDefault="00000000" w:rsidRPr="00000000" w14:paraId="000000FC">
      <w:pPr>
        <w:spacing w:after="0" w:before="288"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MORIWAKI, A. M. </w:t>
      </w:r>
      <w:r w:rsidDel="00000000" w:rsidR="00000000" w:rsidRPr="00000000">
        <w:rPr>
          <w:rFonts w:ascii="Times New Roman" w:cs="Times New Roman" w:eastAsia="Times New Roman" w:hAnsi="Times New Roman"/>
          <w:i w:val="1"/>
          <w:sz w:val="24"/>
          <w:szCs w:val="24"/>
          <w:highlight w:val="white"/>
          <w:rtl w:val="0"/>
        </w:rPr>
        <w:t xml:space="preserve">et al</w:t>
      </w:r>
      <w:r w:rsidDel="00000000" w:rsidR="00000000" w:rsidRPr="00000000">
        <w:rPr>
          <w:rFonts w:ascii="Times New Roman" w:cs="Times New Roman" w:eastAsia="Times New Roman" w:hAnsi="Times New Roman"/>
          <w:sz w:val="24"/>
          <w:szCs w:val="24"/>
          <w:highlight w:val="white"/>
          <w:rtl w:val="0"/>
        </w:rPr>
        <w:t xml:space="preserve">. Avaliação da profilaxia no primeiro atendimento pós-exposição ao vírus da raiva. </w:t>
      </w:r>
      <w:r w:rsidDel="00000000" w:rsidR="00000000" w:rsidRPr="00000000">
        <w:rPr>
          <w:rFonts w:ascii="Times New Roman" w:cs="Times New Roman" w:eastAsia="Times New Roman" w:hAnsi="Times New Roman"/>
          <w:b w:val="1"/>
          <w:sz w:val="24"/>
          <w:szCs w:val="24"/>
          <w:highlight w:val="white"/>
          <w:rtl w:val="0"/>
        </w:rPr>
        <w:t xml:space="preserve">Acta Paulista de Enfermagem</w:t>
      </w:r>
      <w:r w:rsidDel="00000000" w:rsidR="00000000" w:rsidRPr="00000000">
        <w:rPr>
          <w:rFonts w:ascii="Times New Roman" w:cs="Times New Roman" w:eastAsia="Times New Roman" w:hAnsi="Times New Roman"/>
          <w:sz w:val="24"/>
          <w:szCs w:val="24"/>
          <w:highlight w:val="white"/>
          <w:rtl w:val="0"/>
        </w:rPr>
        <w:t xml:space="preserve">, v. 26, p. 428-435, 2013.</w:t>
      </w:r>
      <w:r w:rsidDel="00000000" w:rsidR="00000000" w:rsidRPr="00000000">
        <w:rPr>
          <w:rtl w:val="0"/>
        </w:rPr>
      </w:r>
    </w:p>
    <w:p w:rsidR="00000000" w:rsidDel="00000000" w:rsidP="00000000" w:rsidRDefault="00000000" w:rsidRPr="00000000" w14:paraId="000000FD">
      <w:pPr>
        <w:spacing w:after="0" w:before="288"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MOTA, R. S. S.  </w:t>
      </w:r>
      <w:r w:rsidDel="00000000" w:rsidR="00000000" w:rsidRPr="00000000">
        <w:rPr>
          <w:rFonts w:ascii="Times New Roman" w:cs="Times New Roman" w:eastAsia="Times New Roman" w:hAnsi="Times New Roman"/>
          <w:i w:val="1"/>
          <w:sz w:val="24"/>
          <w:szCs w:val="24"/>
          <w:highlight w:val="white"/>
          <w:rtl w:val="0"/>
        </w:rPr>
        <w:t xml:space="preserve">et al</w:t>
      </w:r>
      <w:r w:rsidDel="00000000" w:rsidR="00000000" w:rsidRPr="00000000">
        <w:rPr>
          <w:rFonts w:ascii="Times New Roman" w:cs="Times New Roman" w:eastAsia="Times New Roman" w:hAnsi="Times New Roman"/>
          <w:sz w:val="24"/>
          <w:szCs w:val="24"/>
          <w:highlight w:val="white"/>
          <w:rtl w:val="0"/>
        </w:rPr>
        <w:t xml:space="preserve">. Perfil da profilaxia antirrábica humana pré-exposição no estado do Rio Grande do Sul, 2007-2014. </w:t>
      </w:r>
      <w:r w:rsidDel="00000000" w:rsidR="00000000" w:rsidRPr="00000000">
        <w:rPr>
          <w:rFonts w:ascii="Times New Roman" w:cs="Times New Roman" w:eastAsia="Times New Roman" w:hAnsi="Times New Roman"/>
          <w:b w:val="1"/>
          <w:sz w:val="24"/>
          <w:szCs w:val="24"/>
          <w:highlight w:val="white"/>
          <w:rtl w:val="0"/>
        </w:rPr>
        <w:t xml:space="preserve">Epidemiologia e Serviços de Saúde</w:t>
      </w:r>
      <w:r w:rsidDel="00000000" w:rsidR="00000000" w:rsidRPr="00000000">
        <w:rPr>
          <w:rFonts w:ascii="Times New Roman" w:cs="Times New Roman" w:eastAsia="Times New Roman" w:hAnsi="Times New Roman"/>
          <w:sz w:val="24"/>
          <w:szCs w:val="24"/>
          <w:highlight w:val="white"/>
          <w:rtl w:val="0"/>
        </w:rPr>
        <w:t xml:space="preserve">, v. 25, p. 511-518, 2016.</w:t>
      </w:r>
    </w:p>
    <w:p w:rsidR="00000000" w:rsidDel="00000000" w:rsidP="00000000" w:rsidRDefault="00000000" w:rsidRPr="00000000" w14:paraId="000000FE">
      <w:pPr>
        <w:spacing w:after="0" w:before="288"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MUNDIM, A.P.M. </w:t>
      </w:r>
      <w:r w:rsidDel="00000000" w:rsidR="00000000" w:rsidRPr="00000000">
        <w:rPr>
          <w:rFonts w:ascii="Times New Roman" w:cs="Times New Roman" w:eastAsia="Times New Roman" w:hAnsi="Times New Roman"/>
          <w:b w:val="1"/>
          <w:sz w:val="24"/>
          <w:szCs w:val="24"/>
          <w:rtl w:val="0"/>
        </w:rPr>
        <w:t xml:space="preserve">Exposição à raiva humana no município de Cuiabá-MT: Epidemiologia e avaliação das medidas preventivas. </w:t>
      </w:r>
      <w:r w:rsidDel="00000000" w:rsidR="00000000" w:rsidRPr="00000000">
        <w:rPr>
          <w:rFonts w:ascii="Times New Roman" w:cs="Times New Roman" w:eastAsia="Times New Roman" w:hAnsi="Times New Roman"/>
          <w:sz w:val="24"/>
          <w:szCs w:val="24"/>
          <w:rtl w:val="0"/>
        </w:rPr>
        <w:t xml:space="preserve">2005. 108 f. Dissertação (Mestrado em Saúde Coletiva) - Universidade Federal do Mato Grosso, Cuiabá. 2005</w:t>
      </w:r>
      <w:r w:rsidDel="00000000" w:rsidR="00000000" w:rsidRPr="00000000">
        <w:rPr>
          <w:rtl w:val="0"/>
        </w:rPr>
      </w:r>
    </w:p>
    <w:p w:rsidR="00000000" w:rsidDel="00000000" w:rsidP="00000000" w:rsidRDefault="00000000" w:rsidRPr="00000000" w14:paraId="000000FF">
      <w:pPr>
        <w:spacing w:after="0" w:before="288"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PFEIFFER, D. U. </w:t>
      </w:r>
      <w:r w:rsidDel="00000000" w:rsidR="00000000" w:rsidRPr="00000000">
        <w:rPr>
          <w:rFonts w:ascii="Times New Roman" w:cs="Times New Roman" w:eastAsia="Times New Roman" w:hAnsi="Times New Roman"/>
          <w:b w:val="1"/>
          <w:sz w:val="24"/>
          <w:szCs w:val="24"/>
          <w:rtl w:val="0"/>
        </w:rPr>
        <w:t xml:space="preserve">Veterinary Epidemiology - An Introduction</w:t>
      </w:r>
      <w:r w:rsidDel="00000000" w:rsidR="00000000" w:rsidRPr="00000000">
        <w:rPr>
          <w:rFonts w:ascii="Times New Roman" w:cs="Times New Roman" w:eastAsia="Times New Roman" w:hAnsi="Times New Roman"/>
          <w:sz w:val="24"/>
          <w:szCs w:val="24"/>
          <w:rtl w:val="0"/>
        </w:rPr>
        <w:t xml:space="preserve">. 2002, p. 44.</w:t>
      </w:r>
    </w:p>
    <w:p w:rsidR="00000000" w:rsidDel="00000000" w:rsidP="00000000" w:rsidRDefault="00000000" w:rsidRPr="00000000" w14:paraId="00000100">
      <w:pPr>
        <w:spacing w:after="0" w:before="288"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PTICHON, A. </w:t>
      </w:r>
      <w:r w:rsidDel="00000000" w:rsidR="00000000" w:rsidRPr="00000000">
        <w:rPr>
          <w:rFonts w:ascii="Times New Roman" w:cs="Times New Roman" w:eastAsia="Times New Roman" w:hAnsi="Times New Roman"/>
          <w:i w:val="1"/>
          <w:sz w:val="24"/>
          <w:szCs w:val="24"/>
          <w:highlight w:val="white"/>
          <w:rtl w:val="0"/>
        </w:rPr>
        <w:t xml:space="preserve">et al</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Índice de Vulnerabilidade da Saúde 2012.</w:t>
      </w:r>
      <w:r w:rsidDel="00000000" w:rsidR="00000000" w:rsidRPr="00000000">
        <w:rPr>
          <w:rFonts w:ascii="Times New Roman" w:cs="Times New Roman" w:eastAsia="Times New Roman" w:hAnsi="Times New Roman"/>
          <w:sz w:val="24"/>
          <w:szCs w:val="24"/>
          <w:highlight w:val="white"/>
          <w:rtl w:val="0"/>
        </w:rPr>
        <w:t xml:space="preserve"> Secretaria Municipal de Saúde. Belo Horizonte: 2012. 24p.</w:t>
      </w:r>
    </w:p>
    <w:p w:rsidR="00000000" w:rsidDel="00000000" w:rsidP="00000000" w:rsidRDefault="00000000" w:rsidRPr="00000000" w14:paraId="00000101">
      <w:pPr>
        <w:spacing w:after="0" w:before="288"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REZENDE, M. B. </w:t>
      </w:r>
      <w:r w:rsidDel="00000000" w:rsidR="00000000" w:rsidRPr="00000000">
        <w:rPr>
          <w:rFonts w:ascii="Times New Roman" w:cs="Times New Roman" w:eastAsia="Times New Roman" w:hAnsi="Times New Roman"/>
          <w:i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Doenças infecciosas e parasitárias: enfoque amazônico.</w:t>
      </w:r>
      <w:r w:rsidDel="00000000" w:rsidR="00000000" w:rsidRPr="00000000">
        <w:rPr>
          <w:rFonts w:ascii="Times New Roman" w:cs="Times New Roman" w:eastAsia="Times New Roman" w:hAnsi="Times New Roman"/>
          <w:sz w:val="24"/>
          <w:szCs w:val="24"/>
          <w:rtl w:val="0"/>
        </w:rPr>
        <w:t xml:space="preserve"> Belém: CEJUP, p. 377 – 395, 1997.</w:t>
      </w:r>
      <w:r w:rsidDel="00000000" w:rsidR="00000000" w:rsidRPr="00000000">
        <w:rPr>
          <w:rtl w:val="0"/>
        </w:rPr>
      </w:r>
    </w:p>
    <w:p w:rsidR="00000000" w:rsidDel="00000000" w:rsidP="00000000" w:rsidRDefault="00000000" w:rsidRPr="00000000" w14:paraId="00000102">
      <w:pPr>
        <w:spacing w:after="0" w:before="288"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ROCHA, S. M. </w:t>
      </w:r>
      <w:r w:rsidDel="00000000" w:rsidR="00000000" w:rsidRPr="00000000">
        <w:rPr>
          <w:rFonts w:ascii="Times New Roman" w:cs="Times New Roman" w:eastAsia="Times New Roman" w:hAnsi="Times New Roman"/>
          <w:i w:val="1"/>
          <w:sz w:val="24"/>
          <w:szCs w:val="24"/>
          <w:highlight w:val="white"/>
          <w:rtl w:val="0"/>
        </w:rPr>
        <w:t xml:space="preserve">et al.</w:t>
      </w:r>
      <w:r w:rsidDel="00000000" w:rsidR="00000000" w:rsidRPr="00000000">
        <w:rPr>
          <w:rFonts w:ascii="Times New Roman" w:cs="Times New Roman" w:eastAsia="Times New Roman" w:hAnsi="Times New Roman"/>
          <w:sz w:val="24"/>
          <w:szCs w:val="24"/>
          <w:highlight w:val="white"/>
          <w:rtl w:val="0"/>
        </w:rPr>
        <w:t xml:space="preserve"> Epidemiological profile of wild rabies in Brazil (2002–2012). </w:t>
      </w:r>
      <w:r w:rsidDel="00000000" w:rsidR="00000000" w:rsidRPr="00000000">
        <w:rPr>
          <w:rFonts w:ascii="Times New Roman" w:cs="Times New Roman" w:eastAsia="Times New Roman" w:hAnsi="Times New Roman"/>
          <w:b w:val="1"/>
          <w:sz w:val="24"/>
          <w:szCs w:val="24"/>
          <w:highlight w:val="white"/>
          <w:rtl w:val="0"/>
        </w:rPr>
        <w:t xml:space="preserve">Transboundary and emerging diseases</w:t>
      </w:r>
      <w:r w:rsidDel="00000000" w:rsidR="00000000" w:rsidRPr="00000000">
        <w:rPr>
          <w:rFonts w:ascii="Times New Roman" w:cs="Times New Roman" w:eastAsia="Times New Roman" w:hAnsi="Times New Roman"/>
          <w:sz w:val="24"/>
          <w:szCs w:val="24"/>
          <w:highlight w:val="white"/>
          <w:rtl w:val="0"/>
        </w:rPr>
        <w:t xml:space="preserve">, v. 64, n. 2, p. 624-633, 2017.</w:t>
      </w:r>
    </w:p>
    <w:p w:rsidR="00000000" w:rsidDel="00000000" w:rsidP="00000000" w:rsidRDefault="00000000" w:rsidRPr="00000000" w14:paraId="00000103">
      <w:pPr>
        <w:spacing w:after="0" w:before="288"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SCHOENDORFER, L.M.P. </w:t>
      </w:r>
      <w:r w:rsidDel="00000000" w:rsidR="00000000" w:rsidRPr="00000000">
        <w:rPr>
          <w:rFonts w:ascii="Times New Roman" w:cs="Times New Roman" w:eastAsia="Times New Roman" w:hAnsi="Times New Roman"/>
          <w:b w:val="1"/>
          <w:sz w:val="24"/>
          <w:szCs w:val="24"/>
          <w:rtl w:val="0"/>
        </w:rPr>
        <w:t xml:space="preserve">Interação Homem Animal de Estimação na cidade de São Paulo – Manejo Inadequado e as Consequências em Saúde Pública</w:t>
      </w:r>
      <w:r w:rsidDel="00000000" w:rsidR="00000000" w:rsidRPr="00000000">
        <w:rPr>
          <w:rFonts w:ascii="Times New Roman" w:cs="Times New Roman" w:eastAsia="Times New Roman" w:hAnsi="Times New Roman"/>
          <w:sz w:val="24"/>
          <w:szCs w:val="24"/>
          <w:rtl w:val="0"/>
        </w:rPr>
        <w:t xml:space="preserve">. São Paulo, 2001. Dissertação de Mestrado – Faculdade de Saúde Pública da Universidade de São Paulo.2001.</w:t>
      </w:r>
    </w:p>
    <w:p w:rsidR="00000000" w:rsidDel="00000000" w:rsidP="00000000" w:rsidRDefault="00000000" w:rsidRPr="00000000" w14:paraId="00000104">
      <w:pPr>
        <w:spacing w:after="0" w:before="288" w:line="240" w:lineRule="auto"/>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SOBRAL FILHO, N. C. </w:t>
      </w:r>
      <w:r w:rsidDel="00000000" w:rsidR="00000000" w:rsidRPr="00000000">
        <w:rPr>
          <w:rFonts w:ascii="Times New Roman" w:cs="Times New Roman" w:eastAsia="Times New Roman" w:hAnsi="Times New Roman"/>
          <w:i w:val="1"/>
          <w:sz w:val="24"/>
          <w:szCs w:val="24"/>
          <w:highlight w:val="white"/>
          <w:rtl w:val="0"/>
        </w:rPr>
        <w:t xml:space="preserve">et al.</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Perfil epidemiológico dos atendimentos antirrábicos humanos no Brasil, no período de 2010 a 2017. </w:t>
      </w:r>
      <w:r w:rsidDel="00000000" w:rsidR="00000000" w:rsidRPr="00000000">
        <w:rPr>
          <w:rFonts w:ascii="Times New Roman" w:cs="Times New Roman" w:eastAsia="Times New Roman" w:hAnsi="Times New Roman"/>
          <w:sz w:val="24"/>
          <w:szCs w:val="24"/>
          <w:highlight w:val="white"/>
          <w:rtl w:val="0"/>
        </w:rPr>
        <w:t xml:space="preserve">2019. 52 f. Cajazeiras, Pernambuco. Trabalho de conclusão de curso. (Medicina). </w:t>
      </w:r>
      <w:r w:rsidDel="00000000" w:rsidR="00000000" w:rsidRPr="00000000">
        <w:rPr>
          <w:rFonts w:ascii="Times New Roman" w:cs="Times New Roman" w:eastAsia="Times New Roman" w:hAnsi="Times New Roman"/>
          <w:sz w:val="24"/>
          <w:szCs w:val="24"/>
          <w:rtl w:val="0"/>
        </w:rPr>
        <w:t xml:space="preserve">Universidade Federal de Campina Grande. 2019. Disponível </w:t>
      </w:r>
      <w:r w:rsidDel="00000000" w:rsidR="00000000" w:rsidRPr="00000000">
        <w:rPr>
          <w:rFonts w:ascii="Times New Roman" w:cs="Times New Roman" w:eastAsia="Times New Roman" w:hAnsi="Times New Roman"/>
          <w:color w:val="000000"/>
          <w:sz w:val="24"/>
          <w:szCs w:val="24"/>
          <w:rtl w:val="0"/>
        </w:rPr>
        <w:t xml:space="preserve">em:  </w:t>
      </w:r>
      <w:hyperlink r:id="rId25">
        <w:r w:rsidDel="00000000" w:rsidR="00000000" w:rsidRPr="00000000">
          <w:rPr>
            <w:rFonts w:ascii="Times New Roman" w:cs="Times New Roman" w:eastAsia="Times New Roman" w:hAnsi="Times New Roman"/>
            <w:color w:val="000000"/>
            <w:sz w:val="24"/>
            <w:szCs w:val="24"/>
            <w:u w:val="single"/>
            <w:rtl w:val="0"/>
          </w:rPr>
          <w:t xml:space="preserve">http://dspace.sti.ufcg.edu.br:8080/jspui/handle/riufcg/11728</w:t>
        </w:r>
      </w:hyperlink>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88"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SOUTO-MARCHAND, A. S.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Doenças infecciosas e suas correlações com indicadores socioeconômicos e demográficos: estudo ecológico em diferentes estados brasileiros.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2017. 120 f. Tese (Doutorado em Medicina Tropical). Instituto Oswaldo Cruz, Fundação Oswaldo Cruz, Rio de Janeiro, 2017.</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88"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TEIXEIRA MG.,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Seleção das doenças de notificação compulsória: critérios e recomendações para as três esferas de governo.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Informe Epidemiológico do SUS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Brasília, DF,</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 7, n. 1, p. 7-28, 1998.</w:t>
      </w:r>
    </w:p>
    <w:p w:rsidR="00000000" w:rsidDel="00000000" w:rsidP="00000000" w:rsidRDefault="00000000" w:rsidRPr="00000000" w14:paraId="00000107">
      <w:pPr>
        <w:spacing w:after="0" w:before="288" w:line="240" w:lineRule="auto"/>
        <w:jc w:val="both"/>
        <w:rPr>
          <w:rFonts w:ascii="Times New Roman" w:cs="Times New Roman" w:eastAsia="Times New Roman" w:hAnsi="Times New Roman"/>
          <w:color w:val="212121"/>
          <w:sz w:val="24"/>
          <w:szCs w:val="24"/>
          <w:highlight w:val="white"/>
        </w:rPr>
      </w:pPr>
      <w:r w:rsidDel="00000000" w:rsidR="00000000" w:rsidRPr="00000000">
        <w:rPr>
          <w:rFonts w:ascii="Times New Roman" w:cs="Times New Roman" w:eastAsia="Times New Roman" w:hAnsi="Times New Roman"/>
          <w:color w:val="212121"/>
          <w:sz w:val="24"/>
          <w:szCs w:val="24"/>
          <w:highlight w:val="white"/>
          <w:rtl w:val="0"/>
        </w:rPr>
        <w:t xml:space="preserve">VELOSO R. D., </w:t>
      </w:r>
      <w:r w:rsidDel="00000000" w:rsidR="00000000" w:rsidRPr="00000000">
        <w:rPr>
          <w:rFonts w:ascii="Times New Roman" w:cs="Times New Roman" w:eastAsia="Times New Roman" w:hAnsi="Times New Roman"/>
          <w:i w:val="1"/>
          <w:color w:val="212121"/>
          <w:sz w:val="24"/>
          <w:szCs w:val="24"/>
          <w:highlight w:val="white"/>
          <w:rtl w:val="0"/>
        </w:rPr>
        <w:t xml:space="preserve">et al</w:t>
      </w:r>
      <w:r w:rsidDel="00000000" w:rsidR="00000000" w:rsidRPr="00000000">
        <w:rPr>
          <w:rFonts w:ascii="Times New Roman" w:cs="Times New Roman" w:eastAsia="Times New Roman" w:hAnsi="Times New Roman"/>
          <w:color w:val="212121"/>
          <w:sz w:val="24"/>
          <w:szCs w:val="24"/>
          <w:highlight w:val="white"/>
          <w:rtl w:val="0"/>
        </w:rPr>
        <w:t xml:space="preserve">. Perfil epidemiológico do atendimento antirrábico humano em Porto Alegre, RS, Brasil. Epidemiologic profile of human anti-rabies treatment in Porto Alegre, RS, brazil. </w:t>
      </w:r>
      <w:r w:rsidDel="00000000" w:rsidR="00000000" w:rsidRPr="00000000">
        <w:rPr>
          <w:rFonts w:ascii="Times New Roman" w:cs="Times New Roman" w:eastAsia="Times New Roman" w:hAnsi="Times New Roman"/>
          <w:b w:val="1"/>
          <w:color w:val="212121"/>
          <w:sz w:val="24"/>
          <w:szCs w:val="24"/>
          <w:highlight w:val="white"/>
          <w:rtl w:val="0"/>
        </w:rPr>
        <w:t xml:space="preserve">Ciência Saúde Coletiva</w:t>
      </w:r>
      <w:r w:rsidDel="00000000" w:rsidR="00000000" w:rsidRPr="00000000">
        <w:rPr>
          <w:rFonts w:ascii="Times New Roman" w:cs="Times New Roman" w:eastAsia="Times New Roman" w:hAnsi="Times New Roman"/>
          <w:color w:val="212121"/>
          <w:sz w:val="24"/>
          <w:szCs w:val="24"/>
          <w:highlight w:val="white"/>
          <w:rtl w:val="0"/>
        </w:rPr>
        <w:t xml:space="preserve">. 2011, v. 16, n. 12, p. 4875-4884. Disponível em: doi: 10.1590/s1413-81232011001300036. </w:t>
      </w:r>
    </w:p>
    <w:p w:rsidR="00000000" w:rsidDel="00000000" w:rsidP="00000000" w:rsidRDefault="00000000" w:rsidRPr="00000000" w14:paraId="00000108">
      <w:pPr>
        <w:spacing w:after="0" w:before="288"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WADA, M. Y.; ROCHA, S. M.; MAIA-ELKHOURY, A. N. S. Situação da raiva no Brasil, 2000 a 2009. </w:t>
      </w:r>
      <w:r w:rsidDel="00000000" w:rsidR="00000000" w:rsidRPr="00000000">
        <w:rPr>
          <w:rFonts w:ascii="Times New Roman" w:cs="Times New Roman" w:eastAsia="Times New Roman" w:hAnsi="Times New Roman"/>
          <w:b w:val="1"/>
          <w:sz w:val="24"/>
          <w:szCs w:val="24"/>
          <w:rtl w:val="0"/>
        </w:rPr>
        <w:t xml:space="preserve">Epidemiol Serv Saúde</w:t>
      </w:r>
      <w:r w:rsidDel="00000000" w:rsidR="00000000" w:rsidRPr="00000000">
        <w:rPr>
          <w:rFonts w:ascii="Times New Roman" w:cs="Times New Roman" w:eastAsia="Times New Roman" w:hAnsi="Times New Roman"/>
          <w:sz w:val="24"/>
          <w:szCs w:val="24"/>
          <w:rtl w:val="0"/>
        </w:rPr>
        <w:t xml:space="preserve">, v. 20, n. 4, p.:509-18. 2011. Disponível em: Doi:10.5123/S1679 49742011000400010.</w:t>
      </w:r>
    </w:p>
    <w:p w:rsidR="00000000" w:rsidDel="00000000" w:rsidP="00000000" w:rsidRDefault="00000000" w:rsidRPr="00000000" w14:paraId="00000109">
      <w:pPr>
        <w:shd w:fill="ffffff" w:val="clear"/>
        <w:spacing w:after="0" w:before="288"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WARRELL, M. J. Current rabies vaccines and prophylaxis schedules: preventing rabies before and after exposure. </w:t>
      </w:r>
      <w:r w:rsidDel="00000000" w:rsidR="00000000" w:rsidRPr="00000000">
        <w:rPr>
          <w:rFonts w:ascii="Times New Roman" w:cs="Times New Roman" w:eastAsia="Times New Roman" w:hAnsi="Times New Roman"/>
          <w:b w:val="1"/>
          <w:sz w:val="24"/>
          <w:szCs w:val="24"/>
          <w:highlight w:val="white"/>
          <w:rtl w:val="0"/>
        </w:rPr>
        <w:t xml:space="preserve">Travel medicine and infectious disease</w:t>
      </w:r>
      <w:r w:rsidDel="00000000" w:rsidR="00000000" w:rsidRPr="00000000">
        <w:rPr>
          <w:rFonts w:ascii="Times New Roman" w:cs="Times New Roman" w:eastAsia="Times New Roman" w:hAnsi="Times New Roman"/>
          <w:sz w:val="24"/>
          <w:szCs w:val="24"/>
          <w:highlight w:val="white"/>
          <w:rtl w:val="0"/>
        </w:rPr>
        <w:t xml:space="preserve">, v. 10, n. 1, p. 1-15, 2012.</w:t>
      </w:r>
    </w:p>
    <w:p w:rsidR="00000000" w:rsidDel="00000000" w:rsidP="00000000" w:rsidRDefault="00000000" w:rsidRPr="00000000" w14:paraId="0000010A">
      <w:pPr>
        <w:shd w:fill="ffffff" w:val="clear"/>
        <w:spacing w:after="0" w:before="288"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WARRELL, M. J. The challenge to provide affordable rabies post-exposure treatment. </w:t>
      </w:r>
      <w:r w:rsidDel="00000000" w:rsidR="00000000" w:rsidRPr="00000000">
        <w:rPr>
          <w:rFonts w:ascii="Times New Roman" w:cs="Times New Roman" w:eastAsia="Times New Roman" w:hAnsi="Times New Roman"/>
          <w:b w:val="1"/>
          <w:sz w:val="24"/>
          <w:szCs w:val="24"/>
          <w:highlight w:val="white"/>
          <w:rtl w:val="0"/>
        </w:rPr>
        <w:t xml:space="preserve">Vaccine</w:t>
      </w:r>
      <w:r w:rsidDel="00000000" w:rsidR="00000000" w:rsidRPr="00000000">
        <w:rPr>
          <w:rFonts w:ascii="Times New Roman" w:cs="Times New Roman" w:eastAsia="Times New Roman" w:hAnsi="Times New Roman"/>
          <w:sz w:val="24"/>
          <w:szCs w:val="24"/>
          <w:highlight w:val="white"/>
          <w:rtl w:val="0"/>
        </w:rPr>
        <w:t xml:space="preserve">, v. 21, n. 7-8, p. 706-709, 2003.</w:t>
      </w:r>
    </w:p>
    <w:p w:rsidR="00000000" w:rsidDel="00000000" w:rsidP="00000000" w:rsidRDefault="00000000" w:rsidRPr="00000000" w14:paraId="0000010B">
      <w:pPr>
        <w:shd w:fill="ffffff" w:val="clear"/>
        <w:spacing w:after="0" w:before="288"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WHO. WORLD HEALTH ORGANIZATION. Centro de Prensa </w:t>
      </w:r>
      <w:r w:rsidDel="00000000" w:rsidR="00000000" w:rsidRPr="00000000">
        <w:rPr>
          <w:rFonts w:ascii="Times New Roman" w:cs="Times New Roman" w:eastAsia="Times New Roman" w:hAnsi="Times New Roman"/>
          <w:b w:val="1"/>
          <w:sz w:val="24"/>
          <w:szCs w:val="24"/>
          <w:rtl w:val="0"/>
        </w:rPr>
        <w:t xml:space="preserve">– Nota descripitiva nº 99 – Rabia</w:t>
      </w:r>
      <w:r w:rsidDel="00000000" w:rsidR="00000000" w:rsidRPr="00000000">
        <w:rPr>
          <w:rFonts w:ascii="Times New Roman" w:cs="Times New Roman" w:eastAsia="Times New Roman" w:hAnsi="Times New Roman"/>
          <w:sz w:val="24"/>
          <w:szCs w:val="24"/>
          <w:rtl w:val="0"/>
        </w:rPr>
        <w:t xml:space="preserve">. 2013a. Disponível em: http:// www.who.int/mediacentre/factsheets/fs099/es/. </w:t>
      </w:r>
      <w:r w:rsidDel="00000000" w:rsidR="00000000" w:rsidRPr="00000000">
        <w:rPr>
          <w:rtl w:val="0"/>
        </w:rPr>
      </w:r>
    </w:p>
    <w:p w:rsidR="00000000" w:rsidDel="00000000" w:rsidP="00000000" w:rsidRDefault="00000000" w:rsidRPr="00000000" w14:paraId="0000010C">
      <w:pPr>
        <w:spacing w:after="0" w:before="288"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WORTON, B. J. Kernel methods for estimating the utilization distribution in home-range studies. </w:t>
      </w:r>
      <w:r w:rsidDel="00000000" w:rsidR="00000000" w:rsidRPr="00000000">
        <w:rPr>
          <w:rFonts w:ascii="Times New Roman" w:cs="Times New Roman" w:eastAsia="Times New Roman" w:hAnsi="Times New Roman"/>
          <w:b w:val="1"/>
          <w:sz w:val="24"/>
          <w:szCs w:val="24"/>
          <w:rtl w:val="0"/>
        </w:rPr>
        <w:t xml:space="preserve">Ecology</w:t>
      </w:r>
      <w:r w:rsidDel="00000000" w:rsidR="00000000" w:rsidRPr="00000000">
        <w:rPr>
          <w:rFonts w:ascii="Times New Roman" w:cs="Times New Roman" w:eastAsia="Times New Roman" w:hAnsi="Times New Roman"/>
          <w:sz w:val="24"/>
          <w:szCs w:val="24"/>
          <w:rtl w:val="0"/>
        </w:rPr>
        <w:t xml:space="preserve">, v. 70, p. 164-168, 1989.</w:t>
      </w:r>
    </w:p>
    <w:p w:rsidR="00000000" w:rsidDel="00000000" w:rsidP="00000000" w:rsidRDefault="00000000" w:rsidRPr="00000000" w14:paraId="0000010D">
      <w:pPr>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0E">
      <w:pPr>
        <w:pStyle w:val="Heading1"/>
        <w:jc w:val="center"/>
        <w:rPr>
          <w:sz w:val="36"/>
          <w:szCs w:val="36"/>
        </w:rPr>
      </w:pPr>
      <w:bookmarkStart w:colFirst="0" w:colLast="0" w:name="_heading=h.2s8eyo1" w:id="9"/>
      <w:bookmarkEnd w:id="9"/>
      <w:r w:rsidDel="00000000" w:rsidR="00000000" w:rsidRPr="00000000">
        <w:rPr>
          <w:rtl w:val="0"/>
        </w:rPr>
        <w:t xml:space="preserve">CAPITULO 1: Distribuição espaço-temporal das espécies animais envolvidas em agravos a humanos em Feira de Santana</w:t>
      </w:r>
      <w:r w:rsidDel="00000000" w:rsidR="00000000" w:rsidRPr="00000000">
        <w:rPr>
          <w:rtl w:val="0"/>
        </w:rPr>
      </w:r>
    </w:p>
    <w:p w:rsidR="00000000" w:rsidDel="00000000" w:rsidP="00000000" w:rsidRDefault="00000000" w:rsidRPr="00000000" w14:paraId="0000010F">
      <w:pPr>
        <w:pStyle w:val="Heading2"/>
        <w:ind w:firstLine="567"/>
        <w:rPr/>
      </w:pPr>
      <w:bookmarkStart w:colFirst="0" w:colLast="0" w:name="_heading=h.17dp8vu" w:id="10"/>
      <w:bookmarkEnd w:id="10"/>
      <w:r w:rsidDel="00000000" w:rsidR="00000000" w:rsidRPr="00000000">
        <w:rPr>
          <w:rtl w:val="0"/>
        </w:rPr>
        <w:t xml:space="preserve">RESUMO </w:t>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Animais domésticos, herbívoros e silvestres podem acometer ao homem arranhões e mordeduras, favorecendo a transmissão de zoonoses. Algumas doenças podem estar associadas às condições sociais e econômicas em que os indivíduos acometidos por ela se encontram inseridos. Os fatores sociais funcionam como facilitadores ou obstáculos para a dispersão do vírus da raiva em uma determinada área. O objetivo deste trabalho é analisar espacial e temporalmente os registros do banco de dados (SINAN) de agravos a humanos por animais, segundo o grupo de espécies e correlacionar aos Índices de Desenvolvimento Humano (IDH) e de Vulnerabilidade da Saúde (IVS) no município de Feira de Santana, Bahia, no período de 2008 a 2020. A partir dos registros da Ficha de Investigação Padronizada do banco de dados do Sistema de Informação de Agravos de Notificação (SINAN). A partir dos dados do SINAN foi obtida a localização geográfica dos agravos dos animais por bairro, por grupo de espécies avaliado.  Desta forma, as espécies foram agrupadas, e os dados referentes ao IDH e ao IVS não ponderado foram obtidos a partir do Censo 2010, sendo calculados para cada bairro. No período estudado, 25.576 pessoas foram agredidas por animais, destas 97,66% foram notificadas após agressões por carnívoros. Dentre os animais carnívoros o cão foi a espécie mais agressora representando 82,69% casos, em seguida encontrou-se os gatos com 14,85%, os herbívoros com 0,47% e os silvestres com 1,78% notificações.  Em relação aos agravos a humanos pelos grupos de espécies por ano e por bairro apresentaram o ano de 2018 e os bairros Tomba, Campo Limpo, Mangabeira e Muchila os mais notificados.  A zona urbana, situada na região central do município de Feira de Santana apresenta o Índice de Desenvolvimento Humano (IDH) elevado e o Índice de Vulnerabilidade da Saúde baixo. Conclui-se que existe uma desigualdade social e essas regiões merecem uma atenção, por causa da falta de informação a respeito da transmissão da raiva e da letalidade da doença</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É necessário insistir com a população dessas regiões sobre os cuidados a serem tomados no controle desses animais. </w:t>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Palavra-chave: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Índices socioeconômicos; IDH; IVS; agravos a humanos.</w:t>
      </w:r>
    </w:p>
    <w:p w:rsidR="00000000" w:rsidDel="00000000" w:rsidP="00000000" w:rsidRDefault="00000000" w:rsidRPr="00000000" w14:paraId="00000112">
      <w:pPr>
        <w:pStyle w:val="Heading2"/>
        <w:ind w:firstLine="567"/>
        <w:rPr/>
      </w:pPr>
      <w:bookmarkStart w:colFirst="0" w:colLast="0" w:name="_heading=h.3rdcrjn" w:id="11"/>
      <w:bookmarkEnd w:id="11"/>
      <w:r w:rsidDel="00000000" w:rsidR="00000000" w:rsidRPr="00000000">
        <w:rPr>
          <w:rtl w:val="0"/>
        </w:rPr>
        <w:t xml:space="preserve">ABSTRAT</w:t>
      </w:r>
    </w:p>
    <w:p w:rsidR="00000000" w:rsidDel="00000000" w:rsidP="00000000" w:rsidRDefault="00000000" w:rsidRPr="00000000" w14:paraId="00000113">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Domestic, herbivorous and wild animals can attack humans with scratches and bites, favoring the transmission of zoonoses. Some diseases may be associated with social and pregnant conditions in which individuals affected by it are inserted. Social factors act as facilitators or obstacles to the spread of the rabies virus in a given area. The objective of this work is to analyze spatially and temporally the records of the database (SINAN) of injuries to humans by animals, according to the group of species and to correlate them with the Human Development Index (HDI) and Health Vulnerability Index (IVS) in the municipality from Feira de Santana, Bahia, from 2008 to 2020. Based on the records of the Standardized Investigation Form of the Notifiable Diseases Information System (SINAN) database. Based on the SINAN data, the geographical location of the animal's injuries was determined by neighborhood, by group of estimates. In this way, the species were grouped, and the data referring to the unweighted HDI and IVS were obtained from the 2010 Census, being calculated for each district. In the period studied, 25,576 people were attacked by animals, of which 97.66% were notified after aggressions by carnivores. Among the carnivorous animals, the dog was the most aggressive species, representing 82.69% cases, followed by cats with 14.85%, herbivores with 0.47% and wild animals with 1.78% notifications. In relation to the injuries to humans by species groups by year and by neighborhood, it presented the year 2018 and the Tomba, Campo Limpo, Mangabeira and Muchila neighborhoods the most notified. The urban area, located in the central region of the municipality of Feira de Santana, has a high Human Development Index (HDI) and a low Health Vulnerability Index. It is concluded that there is social inequality and these regions deserve attention, due to the lack of information about the transmission of rabies and the lethality of the disease. It is necessary to insist with the population of these regions about the care to be taken in controlling these animals.</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Keyword: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Socioeconomic indices; HDI; IVS; harm to humans.</w:t>
      </w:r>
    </w:p>
    <w:p w:rsidR="00000000" w:rsidDel="00000000" w:rsidP="00000000" w:rsidRDefault="00000000" w:rsidRPr="00000000" w14:paraId="00000115">
      <w:pPr>
        <w:pStyle w:val="Heading2"/>
        <w:ind w:firstLine="567"/>
        <w:rPr/>
      </w:pPr>
      <w:bookmarkStart w:colFirst="0" w:colLast="0" w:name="_heading=h.26in1rg" w:id="12"/>
      <w:bookmarkEnd w:id="12"/>
      <w:r w:rsidDel="00000000" w:rsidR="00000000" w:rsidRPr="00000000">
        <w:rPr>
          <w:rtl w:val="0"/>
        </w:rPr>
        <w:t xml:space="preserve">INTRODUÇÃO</w:t>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1134"/>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lnxbz9" w:id="13"/>
      <w:bookmarkEnd w:id="1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homem e os animais, principalmente os domésticos, estão cada vez mais próximos.  Esta convivência traz diversos benefícios a ambos, entretanto ocasiona alguns perigos. Exemplos disso são os acidentes por mordeduras (CARDOSO, 2018, GRISOLIO 2017). Os ferimentos causados por traumas de animais, resultam em laceração de tecidos, podendo em casos menos graves, causar apenas feridas superficiais, não sendo menos perigosas quanto a possíveis infecções, onde os cães são relatados como os principais agressores, seguidos de gatos, e animais silvestres principalmente quando se sentem acuados.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O contato direto com animais selvagens e animais domésticos está ligado ao risco de propagação zoonótica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(BARROSO, 2018;</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BENAVIDES, 2020). </w:t>
      </w:r>
      <w:r w:rsidDel="00000000" w:rsidR="00000000" w:rsidRPr="00000000">
        <w:rPr>
          <w:rtl w:val="0"/>
        </w:rPr>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113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 Sistema de Informações de Agravos de Notificação (SINAN) são registrados casos da doença e ao atendimento antirrábico em todas os territórios do Brasil, pelas fichas de atendimento, permitindo o registro de agravos em uma região, o que auxilia a identificação de um cenário epidemiológico do agravo e uma possível tomada de decisão pelo sistema de saúde baseado nesses dados (BRASIL, 2017a). Pelos critérios estabelecidos para notificação dos agravos, todo caso suspeito ou confirmado de raiva humana é de notificação compulsória e imediata (BRASIL 2009; BRASIL 2010). A raiva humana é uma doença zoonótica que continua sendo um problema de saúde pública devido à sua alta letalidade (CALVALCANTE, 2017). Esta doença desenvolve-se não somente em animais domésticos, como também em animais silvestres apresentando a importância dessas espécies na sua epidemiologia por contribuir com a manutenção do vírus na natureza (GRISÓLIO, 2014). </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113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Algumas doenças podem estar associadas às condições sociais e econômicas em que os indivíduos acometidos por ela se encontram inseridos (SOUTO-MARCHAND et al., 2017). Os fatores sociais funcionam como facilitadores ou obstáculos para a dispersão do vírus da raiva em uma determinada área. Quanto menor a situação de desenvolvimento local, maior é a desordem observada na relação homem e animal e menores também os cuidados sanitários tomados (MIRANDA, 2003), por isso a importância de explorar o impacto das desigualdades na qualidade e no estilo de vida e nas condições de saúde. A necessidade de uma abordagem das relações entre ‘modo de vida’ e saúde é sempre mencionada e é o argumento norteador da construção do indicador composto Índice de Vulnerabilidade da Saúde - IVS (PICTHON et al, 2012) e no Índice de Desenvolvimento Humano – IDH que resulta, portanto, no atendimento dessas necessidades básicas (educação, longevidade e renda) para que os indivíduos possam desenvolver suas capacidades e suas escolhas (BITOUN, 2005).</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113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 o advento de novas geotecnologias é possível realizar analises espaciais em saúde, podendo ser um simples mapeamento dos eventos até uma reprodução de áreas que permitam a análise e reflexão, contribuindo assim com a representação gráfica de distribuição espacial sobre a participação de eventos socioeconômicos e ambientais, envolvidos em doenças ou agravos em espaços geográficos definidos. (MASCARENHAS, 2009).</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113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Nesse contexto, este trabalho tem como objetivo analisar espacial e temporalmente os registros do SINAN de agravos a humanos por animais, segundo o grupo de espécies e correlacionar aos Índices de Desenvolvimento Humano e de Vulnerabilidade da Saúde no município de Feira de Santana, Bahia, no período de 2008 a 2019.</w:t>
      </w:r>
    </w:p>
    <w:p w:rsidR="00000000" w:rsidDel="00000000" w:rsidP="00000000" w:rsidRDefault="00000000" w:rsidRPr="00000000" w14:paraId="0000011B">
      <w:pPr>
        <w:pStyle w:val="Heading2"/>
        <w:ind w:firstLine="567"/>
        <w:rPr/>
      </w:pPr>
      <w:bookmarkStart w:colFirst="0" w:colLast="0" w:name="_heading=h.35nkun2" w:id="14"/>
      <w:bookmarkEnd w:id="14"/>
      <w:r w:rsidDel="00000000" w:rsidR="00000000" w:rsidRPr="00000000">
        <w:rPr>
          <w:rtl w:val="0"/>
        </w:rPr>
        <w:t xml:space="preserve">METODOLOGIA </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113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estudo caracteriza-se como observacional, descritivo, retrospectivo, baseados na consulta e análise dos registros da Ficha de Investigação padronizada no banco de dados do SINAN. Dados da localização espacial dos bairros foram associados ao agravo pelo grupo de espécies. </w:t>
      </w:r>
    </w:p>
    <w:p w:rsidR="00000000" w:rsidDel="00000000" w:rsidP="00000000" w:rsidRDefault="00000000" w:rsidRPr="00000000" w14:paraId="0000011D">
      <w:pPr>
        <w:pStyle w:val="Heading3"/>
        <w:ind w:firstLine="1134"/>
        <w:rPr/>
      </w:pPr>
      <w:bookmarkStart w:colFirst="0" w:colLast="0" w:name="_heading=h.1ksv4uv" w:id="15"/>
      <w:bookmarkEnd w:id="15"/>
      <w:r w:rsidDel="00000000" w:rsidR="00000000" w:rsidRPr="00000000">
        <w:rPr>
          <w:rtl w:val="0"/>
        </w:rPr>
        <w:t xml:space="preserve">Área de Estudo</w:t>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113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município de Feira de Santana está situado na região centro-norte do Estado da Bahia, a 109 km da capital Salvador, com altitude de 257 m em relação ao nível do mar. De acordo com o Instituto Brasileiro de Geografia e Estatística – IBGE (BRASIL, 2021), a população total estimada no ano de 2020 foi de 619.609 habitantes distribuídos em área territorial de 1.304,425 Km2, com densidade demográfica de 416,03 hab./Km². O município possui 44 bairros e nove distritos: Feira de Santana sendo o distrito sede, Bonfim de Feira e Governador João Durval Carneiro, ao oeste; Humildes e Jaíba, ao leste; e Jaguara, Maria Quitéria, Matinha e Tiquaruçu, ao norte, como apresentado na Figura 1 (BRASIL, 2020b). </w:t>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60" w:before="120" w:line="240" w:lineRule="auto"/>
        <w:ind w:left="1134" w:right="0" w:hanging="1134"/>
        <w:jc w:val="both"/>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heading=h.44sinio" w:id="16"/>
      <w:bookmarkEnd w:id="16"/>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Figura 1. </w:t>
        <w:tab/>
        <w:t xml:space="preserve">Município de Feira de Santana e seus distritos, Bahia, Brasil.</w:t>
      </w:r>
    </w:p>
    <w:p w:rsidR="00000000" w:rsidDel="00000000" w:rsidP="00000000" w:rsidRDefault="00000000" w:rsidRPr="00000000" w14:paraId="00000120">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750697" cy="3821175"/>
            <wp:effectExtent b="0" l="0" r="0" t="0"/>
            <wp:docPr id="152" name="image31.png"/>
            <a:graphic>
              <a:graphicData uri="http://schemas.openxmlformats.org/drawingml/2006/picture">
                <pic:pic>
                  <pic:nvPicPr>
                    <pic:cNvPr id="0" name="image31.png"/>
                    <pic:cNvPicPr preferRelativeResize="0"/>
                  </pic:nvPicPr>
                  <pic:blipFill>
                    <a:blip r:embed="rId26"/>
                    <a:srcRect b="0" l="0" r="0" t="0"/>
                    <a:stretch>
                      <a:fillRect/>
                    </a:stretch>
                  </pic:blipFill>
                  <pic:spPr>
                    <a:xfrm>
                      <a:off x="0" y="0"/>
                      <a:ext cx="4750697" cy="3821175"/>
                    </a:xfrm>
                    <a:prstGeom prst="rect"/>
                    <a:ln/>
                  </pic:spPr>
                </pic:pic>
              </a:graphicData>
            </a:graphic>
          </wp:inline>
        </w:drawing>
      </w:r>
      <w:r w:rsidDel="00000000" w:rsidR="00000000" w:rsidRPr="00000000">
        <w:rPr>
          <w:rtl w:val="0"/>
        </w:rPr>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567"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Fonte: Adaptado de SEVÁ (2010).</w:t>
      </w:r>
    </w:p>
    <w:p w:rsidR="00000000" w:rsidDel="00000000" w:rsidP="00000000" w:rsidRDefault="00000000" w:rsidRPr="00000000" w14:paraId="00000122">
      <w:pPr>
        <w:pStyle w:val="Heading3"/>
        <w:ind w:firstLine="1134"/>
        <w:rPr>
          <w:b w:val="0"/>
        </w:rPr>
      </w:pPr>
      <w:bookmarkStart w:colFirst="0" w:colLast="0" w:name="_heading=h.2jxsxqh" w:id="17"/>
      <w:bookmarkEnd w:id="17"/>
      <w:r w:rsidDel="00000000" w:rsidR="00000000" w:rsidRPr="00000000">
        <w:rPr>
          <w:rtl w:val="0"/>
        </w:rPr>
        <w:t xml:space="preserve">Banco de dados e variáveis</w:t>
      </w:r>
      <w:r w:rsidDel="00000000" w:rsidR="00000000" w:rsidRPr="00000000">
        <w:rPr>
          <w:rtl w:val="0"/>
        </w:rPr>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113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estudo baseia-se nos registros da Ficha de Investigação Padronizada do banco de dados do SINAN, para o período de 2008 a 2019.  A partir destes dados foi obtida a localização geográfica dos agravos dos animais por bairro, por grupo de espécies avaliado.  Desta forma, as espécies foram agrupadas em carnívoros (cães e gatos), herbívoros (animais domésticos não carnívoros) e silvestres (espécies silvestres e sinantrópicas).  Dados referentes ao IDH (IDH geral, IDH-Renda, IDH-Escolaridade, IDH-Longevidade) e ao Índice não ponderado de Vulnerabilidade da Saúde (IVS) foram obtidos a partir do Censo 2010, sendo calculados para cada bairro conforme Abreu et al (2011) adaptado por Gomes (2021) e Pitchon et al (2012), respectivamente.</w:t>
      </w:r>
    </w:p>
    <w:p w:rsidR="00000000" w:rsidDel="00000000" w:rsidP="00000000" w:rsidRDefault="00000000" w:rsidRPr="00000000" w14:paraId="00000124">
      <w:pPr>
        <w:pStyle w:val="Heading3"/>
        <w:ind w:firstLine="1134"/>
        <w:rPr/>
      </w:pPr>
      <w:bookmarkStart w:colFirst="0" w:colLast="0" w:name="_heading=h.z337ya" w:id="18"/>
      <w:bookmarkEnd w:id="18"/>
      <w:r w:rsidDel="00000000" w:rsidR="00000000" w:rsidRPr="00000000">
        <w:rPr>
          <w:rtl w:val="0"/>
        </w:rPr>
        <w:t xml:space="preserve">Análise de dados</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113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Para a produção dos mapas foram utilizados a localização geográfica dos bairros de Feira de Santana em formato de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shapefile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obtido no IBGE (BRASIL, 2020) associados a uma tabela por ano com o número de casos e agravos por animais carnívoros, herbívoros, silvestres e sinantrópicos. Para o processamento e análise de dados, utilizou-se a ferramenta QGIS 3.10.6 (QGIS, 2017) unindo os dados e categorizando o tipo de espécie por bairro.</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113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relação espaço-temporal entre as frequências absolutas de agravos por grupo de espécie foi verificada entre os anos pelo cálculo do coeficiente diferencial I de Moran (ANSELIN, 2019). A autocorrelação espacial bivariada foi verificada pelo cálculo do coeficiente I de Moran, para as frequências absolutas de agravos, por espécie animal, frente aos valores de IDH e de IVS, para todo o período em análise e por ano. O coeficiente I, regressões, diagramas de dispersão, mapas de significância e de aglomerados foram calculados e plotados utilizando-se o programa GeoDa versão 1.20 (ANSELIN, SYABRI, KHO, 2006).</w:t>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113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 todas as análises foram utilizados os programas Excel 2016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(MICROSOFT, 2016) e EpiInfo 7 (DEAN et al., 2011). Considerou-se o nível de significância de 5%. </w:t>
      </w:r>
    </w:p>
    <w:p w:rsidR="00000000" w:rsidDel="00000000" w:rsidP="00000000" w:rsidRDefault="00000000" w:rsidRPr="00000000" w14:paraId="00000128">
      <w:pPr>
        <w:pStyle w:val="Heading3"/>
        <w:ind w:firstLine="1134"/>
        <w:rPr/>
      </w:pPr>
      <w:bookmarkStart w:colFirst="0" w:colLast="0" w:name="_heading=h.3j2qqm3" w:id="19"/>
      <w:bookmarkEnd w:id="19"/>
      <w:r w:rsidDel="00000000" w:rsidR="00000000" w:rsidRPr="00000000">
        <w:rPr>
          <w:rtl w:val="0"/>
        </w:rPr>
        <w:t xml:space="preserve">Aspectos éticos</w:t>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113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Os dados do SINAN foram recuperados sem os nomes dos indivíduos submetidos ao atendimento antirrábico, procurando cumprir o disposto na Resolução CNS 466/12², que detalha e amplia requerimentos para a proteção dos participantes das pesquisas para que assegurem a confidencialidade e a privacidade.  O acesso ao banco de dados foi obtido mediante ofício de solicitação para a Secretaria de Saúde de Feira de Santana (Anexo 2) e autorização pelo Comitê de Ética em Pesquisa (CAAE no 51127321.2.0000.0053; Parecer no 5.252.767) da Universidade Estadual de Feira de Santana (Anexo 3).</w:t>
      </w:r>
    </w:p>
    <w:p w:rsidR="00000000" w:rsidDel="00000000" w:rsidP="00000000" w:rsidRDefault="00000000" w:rsidRPr="00000000" w14:paraId="0000012A">
      <w:pPr>
        <w:pStyle w:val="Heading2"/>
        <w:ind w:firstLine="567"/>
        <w:rPr/>
      </w:pPr>
      <w:bookmarkStart w:colFirst="0" w:colLast="0" w:name="_heading=h.1y810tw" w:id="20"/>
      <w:bookmarkEnd w:id="20"/>
      <w:r w:rsidDel="00000000" w:rsidR="00000000" w:rsidRPr="00000000">
        <w:rPr>
          <w:rtl w:val="0"/>
        </w:rPr>
        <w:t xml:space="preserve">RESULTADOS E DISCUSSÃO</w:t>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113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 período de 2008 a 2021 o SINAN reportou 27.071 notificações de agravos a humanos por animais em Feira de Santana.  Nos anos de 2020 e 2021, o número de notificações foi substancialmente menor do que as dos anos anteriores, e assim, estes anos foram subtraídos do banco em análise, devido ao possível efeito de subnotificação no período devido à pandemia COVID2019. Desta forma, a análise concentrou-se nos casos notificados entre 2008 e 2019, num total de 25591 notificações.</w:t>
      </w:r>
    </w:p>
    <w:p w:rsidR="00000000" w:rsidDel="00000000" w:rsidP="00000000" w:rsidRDefault="00000000" w:rsidRPr="00000000" w14:paraId="0000012C">
      <w:pPr>
        <w:pStyle w:val="Heading3"/>
        <w:ind w:firstLine="1134"/>
        <w:rPr/>
      </w:pPr>
      <w:bookmarkStart w:colFirst="0" w:colLast="0" w:name="_heading=h.4i7ojhp" w:id="21"/>
      <w:bookmarkEnd w:id="21"/>
      <w:r w:rsidDel="00000000" w:rsidR="00000000" w:rsidRPr="00000000">
        <w:rPr>
          <w:rtl w:val="0"/>
        </w:rPr>
        <w:t xml:space="preserve">Distribuição espaço-temporal das espécies animais envolvidas em agravos a humanos em Feira de Santana</w:t>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113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 período estudado, 25.576 pessoas foram agredidas por animais, destas 24.950 (97,66%; IC95%: 97,35 -97,73) foram notificadas após agressões por carnívoros. Dentre os animais carnívoros o cão foi a espécie mais agressora representando 21.150 (82,69%; IC95%: 82,22 – 83,15) casos, em seguida encontrou-se os gatos com 3.798 (14,85%; IC95%: 14,41-15,29). </w:t>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113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Os herbívoros foram representados por 121 (0,47%; IC95%: 0,39 – 0,56) notificações sendo as espécies mais frequentes o cavalo, com 50 (41,32%; IC95%: 32,39), bovino e suíno, com 28 (23,14%; IC95%:16,53 – 31,43).</w:t>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113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Animais silvestres agressores foram notificados em 455 (1,78%; IC95%: 1,62-1,94), destacando-se os primatas com 234 (51,42%; IC95%: 46,68- 55,99), seguido pelos morcegos, com 187 (41,09%; IC95%: 36,67- 45,67). </w:t>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113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Os animais sinantrópicos foram representados com 22 (0,09%; IC95%: 0,05 -0,13) notificações, sendo que as espécies presentes foram o sariguê com 12 (54,45%; IC95%: 34,49-73,18) e o rato com 10 (0,04%). Em 33 (0,13%; IC95%: 0,09-0,18) notificações não havia identificação da espécie agressora A tabela 1 resume os dados das notificações por espécies agressoras.</w:t>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113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 acordo com os registros do SINAN no período de 2008 a 2019 os agravos de animais carnívoros a humanos no município de Feira de Santana totalizaram 24.950 notificações. O ano de 2018 com o maior número de notificações n=2.316 (9,28%; IC95%: 8,93-9,65) e o ano de 2008 sendo o menor com n=1.774 </w:t>
      </w: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(7,11%; IC95%: 6,80-7,43).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Tabela 9 (Apêndice 2) resume a frequência de casos notificados por grupo de espécies e ano.  Em relação as notificações por bairro foram no total de 24.890, o Tomba com n=2271 </w:t>
      </w: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(9,12%; IC95%: 8,77- 9,48)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apontou com mais ataques de cães e gatos, seguido pelo Campo Limpo n=1884 (7,56%; IC95%: 7,24-7,90), Mangabeira n=1232 (4,94%; IC95%: 4,68-5,22), Muchila n=1050 (4,21%; IC95%: 3,97- 4,47), Queimadinha n=904 (3,63%; IC95%: 3,40- 3,87), Calumbi n=872 (3,50%; IC95%: 3,28-3,73) e Brasília n=836 (3,35%; IC95%: 3,14- 3,59).  A Tabela 10 (Apêndice 2) e a Figura 18 (Apêndice 3) resumem a frequência de casos notificados por grupo de espécies e bairros / distritos a cada ano, destacando-se o bairro Tomba, e os distritos Maria Quitéria e Humildes por terem notificado todos os anos. </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60" w:before="120" w:line="240" w:lineRule="auto"/>
        <w:ind w:left="1134" w:right="0" w:hanging="1134"/>
        <w:jc w:val="both"/>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heading=h.2xcytpi" w:id="22"/>
      <w:bookmarkEnd w:id="22"/>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Tabela 1.</w:t>
        <w:tab/>
        <w:t xml:space="preserve">Frequência absoluta (Fi), frequência relativa (fi) e escore de intervalo de confiança (IC95%) de Wilson dos agravos a seres humanos segundo a espécie agressora em Feira de Santana, BA, 2008-2019</w:t>
      </w:r>
    </w:p>
    <w:tbl>
      <w:tblPr>
        <w:tblStyle w:val="Table3"/>
        <w:tblW w:w="8503.999999999998" w:type="dxa"/>
        <w:jc w:val="center"/>
        <w:tblLayout w:type="fixed"/>
        <w:tblLook w:val="0400"/>
      </w:tblPr>
      <w:tblGrid>
        <w:gridCol w:w="3261"/>
        <w:gridCol w:w="1134"/>
        <w:gridCol w:w="993"/>
        <w:gridCol w:w="1558"/>
        <w:gridCol w:w="1558"/>
        <w:tblGridChange w:id="0">
          <w:tblGrid>
            <w:gridCol w:w="3261"/>
            <w:gridCol w:w="1134"/>
            <w:gridCol w:w="993"/>
            <w:gridCol w:w="1558"/>
            <w:gridCol w:w="1558"/>
          </w:tblGrid>
        </w:tblGridChange>
      </w:tblGrid>
      <w:tr>
        <w:trPr>
          <w:cantSplit w:val="0"/>
          <w:trHeight w:val="261" w:hRule="atLeast"/>
          <w:tblHeader w:val="0"/>
        </w:trPr>
        <w:tc>
          <w:tcPr>
            <w:vMerge w:val="restart"/>
            <w:tcBorders>
              <w:top w:color="000000" w:space="0" w:sz="4" w:val="single"/>
              <w:left w:color="000000" w:space="0" w:sz="0" w:val="nil"/>
              <w:right w:color="000000" w:space="0" w:sz="0" w:val="nil"/>
            </w:tcBorders>
            <w:shd w:fill="ffffff" w:val="clear"/>
            <w:vAlign w:val="center"/>
          </w:tcPr>
          <w:p w:rsidR="00000000" w:rsidDel="00000000" w:rsidP="00000000" w:rsidRDefault="00000000" w:rsidRPr="00000000" w14:paraId="00000133">
            <w:pPr>
              <w:tabs>
                <w:tab w:val="left" w:leader="none" w:pos="72"/>
                <w:tab w:val="left" w:leader="none" w:pos="214"/>
              </w:tabs>
              <w:spacing w:after="0" w:line="240" w:lineRule="auto"/>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Espécie/tipo de animal agressor</w:t>
            </w:r>
          </w:p>
        </w:tc>
        <w:tc>
          <w:tcPr>
            <w:vMerge w:val="restart"/>
            <w:tcBorders>
              <w:top w:color="000000" w:space="0" w:sz="4" w:val="single"/>
              <w:left w:color="000000" w:space="0" w:sz="0" w:val="nil"/>
              <w:right w:color="000000" w:space="0" w:sz="0" w:val="nil"/>
            </w:tcBorders>
            <w:shd w:fill="ffffff" w:val="clear"/>
            <w:vAlign w:val="center"/>
          </w:tcPr>
          <w:p w:rsidR="00000000" w:rsidDel="00000000" w:rsidP="00000000" w:rsidRDefault="00000000" w:rsidRPr="00000000" w14:paraId="00000134">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Fi</w:t>
            </w:r>
          </w:p>
        </w:tc>
        <w:tc>
          <w:tcPr>
            <w:vMerge w:val="restart"/>
            <w:tcBorders>
              <w:top w:color="000000" w:space="0" w:sz="4" w:val="single"/>
              <w:left w:color="000000" w:space="0" w:sz="0" w:val="nil"/>
              <w:right w:color="000000" w:space="0" w:sz="0" w:val="nil"/>
            </w:tcBorders>
            <w:shd w:fill="ffffff" w:val="clear"/>
            <w:vAlign w:val="center"/>
          </w:tcPr>
          <w:p w:rsidR="00000000" w:rsidDel="00000000" w:rsidP="00000000" w:rsidRDefault="00000000" w:rsidRPr="00000000" w14:paraId="00000135">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fi</w:t>
            </w:r>
          </w:p>
        </w:tc>
        <w:tc>
          <w:tcPr>
            <w:gridSpan w:val="2"/>
            <w:tcBorders>
              <w:top w:color="000000" w:space="0" w:sz="4" w:val="single"/>
              <w:left w:color="000000" w:space="0" w:sz="0" w:val="nil"/>
              <w:bottom w:color="000000" w:space="0" w:sz="4" w:val="single"/>
              <w:right w:color="000000" w:space="0" w:sz="0" w:val="nil"/>
            </w:tcBorders>
            <w:shd w:fill="ffffff" w:val="clear"/>
            <w:vAlign w:val="center"/>
          </w:tcPr>
          <w:p w:rsidR="00000000" w:rsidDel="00000000" w:rsidP="00000000" w:rsidRDefault="00000000" w:rsidRPr="00000000" w14:paraId="00000136">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IC95%</w:t>
            </w:r>
          </w:p>
        </w:tc>
      </w:tr>
      <w:tr>
        <w:trPr>
          <w:cantSplit w:val="0"/>
          <w:trHeight w:val="261" w:hRule="atLeast"/>
          <w:tblHeader w:val="0"/>
        </w:trPr>
        <w:tc>
          <w:tcPr>
            <w:vMerge w:val="continue"/>
            <w:tcBorders>
              <w:top w:color="000000" w:space="0" w:sz="4" w:val="single"/>
              <w:left w:color="000000" w:space="0" w:sz="0" w:val="nil"/>
              <w:right w:color="000000" w:space="0" w:sz="0" w:val="nil"/>
            </w:tcBorders>
            <w:shd w:fill="ffffff" w:val="clear"/>
            <w:vAlign w:val="center"/>
          </w:tcPr>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18"/>
                <w:szCs w:val="18"/>
              </w:rPr>
            </w:pPr>
            <w:r w:rsidDel="00000000" w:rsidR="00000000" w:rsidRPr="00000000">
              <w:rPr>
                <w:rtl w:val="0"/>
              </w:rPr>
            </w:r>
          </w:p>
        </w:tc>
        <w:tc>
          <w:tcPr>
            <w:vMerge w:val="continue"/>
            <w:tcBorders>
              <w:top w:color="000000" w:space="0" w:sz="4" w:val="single"/>
              <w:left w:color="000000" w:space="0" w:sz="0" w:val="nil"/>
              <w:right w:color="000000" w:space="0" w:sz="0" w:val="nil"/>
            </w:tcBorders>
            <w:shd w:fill="ffffff" w:val="clear"/>
            <w:vAlign w:val="center"/>
          </w:tcPr>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18"/>
                <w:szCs w:val="18"/>
              </w:rPr>
            </w:pPr>
            <w:r w:rsidDel="00000000" w:rsidR="00000000" w:rsidRPr="00000000">
              <w:rPr>
                <w:rtl w:val="0"/>
              </w:rPr>
            </w:r>
          </w:p>
        </w:tc>
        <w:tc>
          <w:tcPr>
            <w:vMerge w:val="continue"/>
            <w:tcBorders>
              <w:top w:color="000000" w:space="0" w:sz="4" w:val="single"/>
              <w:left w:color="000000" w:space="0" w:sz="0" w:val="nil"/>
              <w:right w:color="000000" w:space="0" w:sz="0" w:val="nil"/>
            </w:tcBorders>
            <w:shd w:fill="ffffff" w:val="clear"/>
            <w:vAlign w:val="center"/>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18"/>
                <w:szCs w:val="18"/>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ffffff" w:val="clear"/>
            <w:vAlign w:val="center"/>
          </w:tcPr>
          <w:p w:rsidR="00000000" w:rsidDel="00000000" w:rsidP="00000000" w:rsidRDefault="00000000" w:rsidRPr="00000000" w14:paraId="0000013B">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Inferior</w:t>
            </w:r>
          </w:p>
        </w:tc>
        <w:tc>
          <w:tcPr>
            <w:tcBorders>
              <w:top w:color="000000" w:space="0" w:sz="4" w:val="single"/>
              <w:left w:color="000000" w:space="0" w:sz="0" w:val="nil"/>
              <w:bottom w:color="000000" w:space="0" w:sz="4" w:val="single"/>
              <w:right w:color="000000" w:space="0" w:sz="0" w:val="nil"/>
            </w:tcBorders>
            <w:shd w:fill="ffffff" w:val="clear"/>
            <w:vAlign w:val="center"/>
          </w:tcPr>
          <w:p w:rsidR="00000000" w:rsidDel="00000000" w:rsidP="00000000" w:rsidRDefault="00000000" w:rsidRPr="00000000" w14:paraId="0000013C">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Superior</w:t>
            </w:r>
          </w:p>
        </w:tc>
      </w:tr>
      <w:tr>
        <w:trPr>
          <w:cantSplit w:val="0"/>
          <w:trHeight w:val="261" w:hRule="atLeast"/>
          <w:tblHeader w:val="0"/>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13D">
            <w:pPr>
              <w:tabs>
                <w:tab w:val="left" w:leader="none" w:pos="72"/>
                <w:tab w:val="left" w:leader="none" w:pos="214"/>
              </w:tabs>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ab/>
              <w:tab/>
              <w:t xml:space="preserve">Canina</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13E">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21150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13F">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82,69%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140">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82,23%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141">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83,15%</w:t>
            </w:r>
          </w:p>
        </w:tc>
      </w:tr>
      <w:tr>
        <w:trPr>
          <w:cantSplit w:val="0"/>
          <w:trHeight w:val="261" w:hRule="atLeast"/>
          <w:tblHeader w:val="0"/>
        </w:trPr>
        <w:tc>
          <w:tcPr>
            <w:tcBorders>
              <w:top w:color="000000" w:space="0" w:sz="0" w:val="nil"/>
              <w:left w:color="000000" w:space="0" w:sz="0" w:val="nil"/>
              <w:right w:color="000000" w:space="0" w:sz="0" w:val="nil"/>
            </w:tcBorders>
            <w:shd w:fill="ffffff" w:val="clear"/>
            <w:vAlign w:val="bottom"/>
          </w:tcPr>
          <w:p w:rsidR="00000000" w:rsidDel="00000000" w:rsidP="00000000" w:rsidRDefault="00000000" w:rsidRPr="00000000" w14:paraId="00000142">
            <w:pPr>
              <w:tabs>
                <w:tab w:val="left" w:leader="none" w:pos="72"/>
                <w:tab w:val="left" w:leader="none" w:pos="214"/>
              </w:tabs>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ab/>
              <w:tab/>
              <w:t xml:space="preserve">Felina</w:t>
            </w:r>
          </w:p>
        </w:tc>
        <w:tc>
          <w:tcPr>
            <w:tcBorders>
              <w:top w:color="000000" w:space="0" w:sz="0" w:val="nil"/>
              <w:left w:color="000000" w:space="0" w:sz="0" w:val="nil"/>
              <w:right w:color="000000" w:space="0" w:sz="0" w:val="nil"/>
            </w:tcBorders>
            <w:shd w:fill="ffffff" w:val="clear"/>
            <w:vAlign w:val="bottom"/>
          </w:tcPr>
          <w:p w:rsidR="00000000" w:rsidDel="00000000" w:rsidP="00000000" w:rsidRDefault="00000000" w:rsidRPr="00000000" w14:paraId="00000143">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3798</w:t>
            </w:r>
          </w:p>
        </w:tc>
        <w:tc>
          <w:tcPr>
            <w:tcBorders>
              <w:top w:color="000000" w:space="0" w:sz="0" w:val="nil"/>
              <w:left w:color="000000" w:space="0" w:sz="0" w:val="nil"/>
              <w:right w:color="000000" w:space="0" w:sz="0" w:val="nil"/>
            </w:tcBorders>
            <w:shd w:fill="ffffff" w:val="clear"/>
            <w:vAlign w:val="bottom"/>
          </w:tcPr>
          <w:p w:rsidR="00000000" w:rsidDel="00000000" w:rsidP="00000000" w:rsidRDefault="00000000" w:rsidRPr="00000000" w14:paraId="00000144">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14,85%</w:t>
            </w:r>
          </w:p>
        </w:tc>
        <w:tc>
          <w:tcPr>
            <w:tcBorders>
              <w:top w:color="000000" w:space="0" w:sz="0" w:val="nil"/>
              <w:left w:color="000000" w:space="0" w:sz="0" w:val="nil"/>
              <w:right w:color="000000" w:space="0" w:sz="0" w:val="nil"/>
            </w:tcBorders>
            <w:shd w:fill="ffffff" w:val="clear"/>
            <w:vAlign w:val="bottom"/>
          </w:tcPr>
          <w:p w:rsidR="00000000" w:rsidDel="00000000" w:rsidP="00000000" w:rsidRDefault="00000000" w:rsidRPr="00000000" w14:paraId="00000145">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14,42%</w:t>
            </w:r>
          </w:p>
        </w:tc>
        <w:tc>
          <w:tcPr>
            <w:tcBorders>
              <w:top w:color="000000" w:space="0" w:sz="0" w:val="nil"/>
              <w:left w:color="000000" w:space="0" w:sz="0" w:val="nil"/>
              <w:right w:color="000000" w:space="0" w:sz="0" w:val="nil"/>
            </w:tcBorders>
            <w:shd w:fill="ffffff" w:val="clear"/>
            <w:vAlign w:val="bottom"/>
          </w:tcPr>
          <w:p w:rsidR="00000000" w:rsidDel="00000000" w:rsidP="00000000" w:rsidRDefault="00000000" w:rsidRPr="00000000" w14:paraId="00000146">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15,29%</w:t>
            </w:r>
          </w:p>
        </w:tc>
      </w:tr>
      <w:tr>
        <w:trPr>
          <w:cantSplit w:val="0"/>
          <w:trHeight w:val="261" w:hRule="atLeast"/>
          <w:tblHeader w:val="0"/>
        </w:trPr>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147">
            <w:pPr>
              <w:tabs>
                <w:tab w:val="left" w:leader="none" w:pos="72"/>
                <w:tab w:val="left" w:leader="none" w:pos="214"/>
              </w:tabs>
              <w:spacing w:after="0" w:line="240" w:lineRule="auto"/>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ab/>
              <w:t xml:space="preserve">Carnívoro</w:t>
            </w:r>
          </w:p>
        </w:tc>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148">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24950</w:t>
            </w:r>
          </w:p>
        </w:tc>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149">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97,66%</w:t>
            </w:r>
          </w:p>
        </w:tc>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14A">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97,47%</w:t>
            </w:r>
          </w:p>
        </w:tc>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14B">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97,84%</w:t>
            </w:r>
          </w:p>
        </w:tc>
      </w:tr>
      <w:tr>
        <w:trPr>
          <w:cantSplit w:val="0"/>
          <w:trHeight w:val="261" w:hRule="atLeast"/>
          <w:tblHeader w:val="0"/>
        </w:trPr>
        <w:tc>
          <w:tcPr>
            <w:tcBorders>
              <w:top w:color="000000" w:space="0" w:sz="4" w:val="single"/>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14C">
            <w:pPr>
              <w:tabs>
                <w:tab w:val="left" w:leader="none" w:pos="72"/>
                <w:tab w:val="left" w:leader="none" w:pos="214"/>
              </w:tabs>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ab/>
              <w:tab/>
              <w:t xml:space="preserve">Morcego</w:t>
            </w:r>
          </w:p>
        </w:tc>
        <w:tc>
          <w:tcPr>
            <w:tcBorders>
              <w:top w:color="000000" w:space="0" w:sz="4" w:val="single"/>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14D">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187</w:t>
            </w:r>
          </w:p>
        </w:tc>
        <w:tc>
          <w:tcPr>
            <w:tcBorders>
              <w:top w:color="000000" w:space="0" w:sz="4" w:val="single"/>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14E">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0,73%</w:t>
            </w:r>
          </w:p>
        </w:tc>
        <w:tc>
          <w:tcPr>
            <w:tcBorders>
              <w:top w:color="000000" w:space="0" w:sz="4" w:val="single"/>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14F">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0,63%</w:t>
            </w:r>
          </w:p>
        </w:tc>
        <w:tc>
          <w:tcPr>
            <w:tcBorders>
              <w:top w:color="000000" w:space="0" w:sz="4" w:val="single"/>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150">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0,84%</w:t>
            </w:r>
          </w:p>
        </w:tc>
      </w:tr>
      <w:tr>
        <w:trPr>
          <w:cantSplit w:val="0"/>
          <w:trHeight w:val="261" w:hRule="atLeast"/>
          <w:tblHeader w:val="0"/>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151">
            <w:pPr>
              <w:tabs>
                <w:tab w:val="left" w:leader="none" w:pos="72"/>
                <w:tab w:val="left" w:leader="none" w:pos="214"/>
              </w:tabs>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ab/>
              <w:tab/>
              <w:t xml:space="preserve">Primata</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152">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234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153">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0,91%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154">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0,81%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155">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1,04%</w:t>
            </w:r>
          </w:p>
        </w:tc>
      </w:tr>
      <w:tr>
        <w:trPr>
          <w:cantSplit w:val="0"/>
          <w:trHeight w:val="261" w:hRule="atLeast"/>
          <w:tblHeader w:val="0"/>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156">
            <w:pPr>
              <w:tabs>
                <w:tab w:val="left" w:leader="none" w:pos="72"/>
                <w:tab w:val="left" w:leader="none" w:pos="214"/>
              </w:tabs>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ab/>
              <w:tab/>
              <w:t xml:space="preserve">Raposa</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157">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158">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0,11%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159">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0,07%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15A">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0,15%</w:t>
            </w:r>
          </w:p>
        </w:tc>
      </w:tr>
      <w:tr>
        <w:trPr>
          <w:cantSplit w:val="0"/>
          <w:trHeight w:val="261" w:hRule="atLeast"/>
          <w:tblHeader w:val="0"/>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15B">
            <w:pPr>
              <w:tabs>
                <w:tab w:val="left" w:leader="none" w:pos="72"/>
                <w:tab w:val="left" w:leader="none" w:pos="214"/>
              </w:tabs>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ab/>
              <w:tab/>
              <w:t xml:space="preserve">Quati</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15C">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15D">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0,00%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15E">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0,00%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15F">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0,02%</w:t>
            </w:r>
          </w:p>
        </w:tc>
      </w:tr>
      <w:tr>
        <w:trPr>
          <w:cantSplit w:val="0"/>
          <w:trHeight w:val="261" w:hRule="atLeast"/>
          <w:tblHeader w:val="0"/>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160">
            <w:pPr>
              <w:tabs>
                <w:tab w:val="left" w:leader="none" w:pos="72"/>
                <w:tab w:val="left" w:leader="none" w:pos="214"/>
              </w:tabs>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ab/>
              <w:tab/>
              <w:t xml:space="preserve">Furão</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161">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162">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0,00%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163">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0,00%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164">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0,02%</w:t>
            </w:r>
          </w:p>
        </w:tc>
      </w:tr>
      <w:tr>
        <w:trPr>
          <w:cantSplit w:val="0"/>
          <w:trHeight w:val="261" w:hRule="atLeast"/>
          <w:tblHeader w:val="0"/>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165">
            <w:pPr>
              <w:tabs>
                <w:tab w:val="left" w:leader="none" w:pos="72"/>
                <w:tab w:val="left" w:leader="none" w:pos="214"/>
              </w:tabs>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ab/>
              <w:tab/>
              <w:t xml:space="preserve">Paca</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166">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167">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0,00%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168">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0,00%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169">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0,02%</w:t>
            </w:r>
          </w:p>
        </w:tc>
      </w:tr>
      <w:tr>
        <w:trPr>
          <w:cantSplit w:val="0"/>
          <w:trHeight w:val="261" w:hRule="atLeast"/>
          <w:tblHeader w:val="0"/>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16A">
            <w:pPr>
              <w:tabs>
                <w:tab w:val="left" w:leader="none" w:pos="72"/>
                <w:tab w:val="left" w:leader="none" w:pos="214"/>
              </w:tabs>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ab/>
              <w:tab/>
              <w:t xml:space="preserve">Preá</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16B">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16C">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0,01%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16D">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0,00%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16E">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0,03%</w:t>
            </w:r>
          </w:p>
        </w:tc>
      </w:tr>
      <w:tr>
        <w:trPr>
          <w:cantSplit w:val="0"/>
          <w:trHeight w:val="261" w:hRule="atLeast"/>
          <w:tblHeader w:val="0"/>
        </w:trPr>
        <w:tc>
          <w:tcPr>
            <w:tcBorders>
              <w:top w:color="000000" w:space="0" w:sz="0" w:val="nil"/>
              <w:left w:color="000000" w:space="0" w:sz="0" w:val="nil"/>
              <w:right w:color="000000" w:space="0" w:sz="0" w:val="nil"/>
            </w:tcBorders>
            <w:shd w:fill="ffffff" w:val="clear"/>
            <w:vAlign w:val="bottom"/>
          </w:tcPr>
          <w:p w:rsidR="00000000" w:rsidDel="00000000" w:rsidP="00000000" w:rsidRDefault="00000000" w:rsidRPr="00000000" w14:paraId="0000016F">
            <w:pPr>
              <w:tabs>
                <w:tab w:val="left" w:leader="none" w:pos="72"/>
                <w:tab w:val="left" w:leader="none" w:pos="214"/>
              </w:tabs>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ab/>
              <w:tab/>
              <w:t xml:space="preserve">Tamanduá</w:t>
            </w:r>
          </w:p>
        </w:tc>
        <w:tc>
          <w:tcPr>
            <w:tcBorders>
              <w:top w:color="000000" w:space="0" w:sz="0" w:val="nil"/>
              <w:left w:color="000000" w:space="0" w:sz="0" w:val="nil"/>
              <w:right w:color="000000" w:space="0" w:sz="0" w:val="nil"/>
            </w:tcBorders>
            <w:shd w:fill="ffffff" w:val="clear"/>
            <w:vAlign w:val="bottom"/>
          </w:tcPr>
          <w:p w:rsidR="00000000" w:rsidDel="00000000" w:rsidP="00000000" w:rsidRDefault="00000000" w:rsidRPr="00000000" w14:paraId="00000170">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w:t>
            </w:r>
          </w:p>
        </w:tc>
        <w:tc>
          <w:tcPr>
            <w:tcBorders>
              <w:top w:color="000000" w:space="0" w:sz="0" w:val="nil"/>
              <w:left w:color="000000" w:space="0" w:sz="0" w:val="nil"/>
              <w:right w:color="000000" w:space="0" w:sz="0" w:val="nil"/>
            </w:tcBorders>
            <w:shd w:fill="ffffff" w:val="clear"/>
            <w:vAlign w:val="bottom"/>
          </w:tcPr>
          <w:p w:rsidR="00000000" w:rsidDel="00000000" w:rsidP="00000000" w:rsidRDefault="00000000" w:rsidRPr="00000000" w14:paraId="00000171">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0,00%</w:t>
            </w:r>
          </w:p>
        </w:tc>
        <w:tc>
          <w:tcPr>
            <w:tcBorders>
              <w:top w:color="000000" w:space="0" w:sz="0" w:val="nil"/>
              <w:left w:color="000000" w:space="0" w:sz="0" w:val="nil"/>
              <w:right w:color="000000" w:space="0" w:sz="0" w:val="nil"/>
            </w:tcBorders>
            <w:shd w:fill="ffffff" w:val="clear"/>
            <w:vAlign w:val="bottom"/>
          </w:tcPr>
          <w:p w:rsidR="00000000" w:rsidDel="00000000" w:rsidP="00000000" w:rsidRDefault="00000000" w:rsidRPr="00000000" w14:paraId="00000172">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0,00%</w:t>
            </w:r>
          </w:p>
        </w:tc>
        <w:tc>
          <w:tcPr>
            <w:tcBorders>
              <w:top w:color="000000" w:space="0" w:sz="0" w:val="nil"/>
              <w:left w:color="000000" w:space="0" w:sz="0" w:val="nil"/>
              <w:right w:color="000000" w:space="0" w:sz="0" w:val="nil"/>
            </w:tcBorders>
            <w:shd w:fill="ffffff" w:val="clear"/>
            <w:vAlign w:val="bottom"/>
          </w:tcPr>
          <w:p w:rsidR="00000000" w:rsidDel="00000000" w:rsidP="00000000" w:rsidRDefault="00000000" w:rsidRPr="00000000" w14:paraId="00000173">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0,02%</w:t>
            </w:r>
          </w:p>
        </w:tc>
      </w:tr>
      <w:tr>
        <w:trPr>
          <w:cantSplit w:val="0"/>
          <w:trHeight w:val="261" w:hRule="atLeast"/>
          <w:tblHeader w:val="0"/>
        </w:trPr>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174">
            <w:pPr>
              <w:tabs>
                <w:tab w:val="left" w:leader="none" w:pos="72"/>
                <w:tab w:val="left" w:leader="none" w:pos="214"/>
              </w:tabs>
              <w:spacing w:after="0" w:line="240" w:lineRule="auto"/>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ab/>
              <w:t xml:space="preserve">Silvestre</w:t>
            </w:r>
          </w:p>
        </w:tc>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175">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455</w:t>
            </w:r>
          </w:p>
        </w:tc>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176">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1,78%</w:t>
            </w:r>
          </w:p>
        </w:tc>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177">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1,63%</w:t>
            </w:r>
          </w:p>
        </w:tc>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178">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1,95%</w:t>
            </w:r>
          </w:p>
        </w:tc>
      </w:tr>
      <w:tr>
        <w:trPr>
          <w:cantSplit w:val="0"/>
          <w:trHeight w:val="261" w:hRule="atLeast"/>
          <w:tblHeader w:val="0"/>
        </w:trPr>
        <w:tc>
          <w:tcPr>
            <w:tcBorders>
              <w:top w:color="000000" w:space="0" w:sz="4" w:val="single"/>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179">
            <w:pPr>
              <w:tabs>
                <w:tab w:val="left" w:leader="none" w:pos="72"/>
                <w:tab w:val="left" w:leader="none" w:pos="214"/>
              </w:tabs>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ab/>
              <w:tab/>
              <w:t xml:space="preserve">Rato</w:t>
            </w:r>
          </w:p>
        </w:tc>
        <w:tc>
          <w:tcPr>
            <w:tcBorders>
              <w:top w:color="000000" w:space="0" w:sz="4" w:val="single"/>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17A">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10</w:t>
            </w:r>
          </w:p>
        </w:tc>
        <w:tc>
          <w:tcPr>
            <w:tcBorders>
              <w:top w:color="000000" w:space="0" w:sz="4" w:val="single"/>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17B">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0,04%</w:t>
            </w:r>
          </w:p>
        </w:tc>
        <w:tc>
          <w:tcPr>
            <w:tcBorders>
              <w:top w:color="000000" w:space="0" w:sz="4" w:val="single"/>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17C">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0,02%</w:t>
            </w:r>
          </w:p>
        </w:tc>
        <w:tc>
          <w:tcPr>
            <w:tcBorders>
              <w:top w:color="000000" w:space="0" w:sz="4" w:val="single"/>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17D">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0,07%</w:t>
            </w:r>
          </w:p>
        </w:tc>
      </w:tr>
      <w:tr>
        <w:trPr>
          <w:cantSplit w:val="0"/>
          <w:trHeight w:val="261" w:hRule="atLeast"/>
          <w:tblHeader w:val="0"/>
        </w:trPr>
        <w:tc>
          <w:tcPr>
            <w:tcBorders>
              <w:top w:color="000000" w:space="0" w:sz="0" w:val="nil"/>
              <w:left w:color="000000" w:space="0" w:sz="0" w:val="nil"/>
              <w:right w:color="000000" w:space="0" w:sz="0" w:val="nil"/>
            </w:tcBorders>
            <w:shd w:fill="ffffff" w:val="clear"/>
            <w:vAlign w:val="bottom"/>
          </w:tcPr>
          <w:p w:rsidR="00000000" w:rsidDel="00000000" w:rsidP="00000000" w:rsidRDefault="00000000" w:rsidRPr="00000000" w14:paraId="0000017E">
            <w:pPr>
              <w:tabs>
                <w:tab w:val="left" w:leader="none" w:pos="72"/>
                <w:tab w:val="left" w:leader="none" w:pos="214"/>
              </w:tabs>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ab/>
              <w:tab/>
              <w:t xml:space="preserve">Sariguê</w:t>
            </w:r>
          </w:p>
        </w:tc>
        <w:tc>
          <w:tcPr>
            <w:tcBorders>
              <w:top w:color="000000" w:space="0" w:sz="0" w:val="nil"/>
              <w:left w:color="000000" w:space="0" w:sz="0" w:val="nil"/>
              <w:right w:color="000000" w:space="0" w:sz="0" w:val="nil"/>
            </w:tcBorders>
            <w:shd w:fill="ffffff" w:val="clear"/>
            <w:vAlign w:val="bottom"/>
          </w:tcPr>
          <w:p w:rsidR="00000000" w:rsidDel="00000000" w:rsidP="00000000" w:rsidRDefault="00000000" w:rsidRPr="00000000" w14:paraId="0000017F">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12</w:t>
            </w:r>
          </w:p>
        </w:tc>
        <w:tc>
          <w:tcPr>
            <w:tcBorders>
              <w:top w:color="000000" w:space="0" w:sz="0" w:val="nil"/>
              <w:left w:color="000000" w:space="0" w:sz="0" w:val="nil"/>
              <w:right w:color="000000" w:space="0" w:sz="0" w:val="nil"/>
            </w:tcBorders>
            <w:shd w:fill="ffffff" w:val="clear"/>
            <w:vAlign w:val="bottom"/>
          </w:tcPr>
          <w:p w:rsidR="00000000" w:rsidDel="00000000" w:rsidP="00000000" w:rsidRDefault="00000000" w:rsidRPr="00000000" w14:paraId="00000180">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0,05%</w:t>
            </w:r>
          </w:p>
        </w:tc>
        <w:tc>
          <w:tcPr>
            <w:tcBorders>
              <w:top w:color="000000" w:space="0" w:sz="0" w:val="nil"/>
              <w:left w:color="000000" w:space="0" w:sz="0" w:val="nil"/>
              <w:right w:color="000000" w:space="0" w:sz="0" w:val="nil"/>
            </w:tcBorders>
            <w:shd w:fill="ffffff" w:val="clear"/>
            <w:vAlign w:val="bottom"/>
          </w:tcPr>
          <w:p w:rsidR="00000000" w:rsidDel="00000000" w:rsidP="00000000" w:rsidRDefault="00000000" w:rsidRPr="00000000" w14:paraId="00000181">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0,03%</w:t>
            </w:r>
          </w:p>
        </w:tc>
        <w:tc>
          <w:tcPr>
            <w:tcBorders>
              <w:top w:color="000000" w:space="0" w:sz="0" w:val="nil"/>
              <w:left w:color="000000" w:space="0" w:sz="0" w:val="nil"/>
              <w:right w:color="000000" w:space="0" w:sz="0" w:val="nil"/>
            </w:tcBorders>
            <w:shd w:fill="ffffff" w:val="clear"/>
            <w:vAlign w:val="bottom"/>
          </w:tcPr>
          <w:p w:rsidR="00000000" w:rsidDel="00000000" w:rsidP="00000000" w:rsidRDefault="00000000" w:rsidRPr="00000000" w14:paraId="00000182">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0,08%</w:t>
            </w:r>
          </w:p>
        </w:tc>
      </w:tr>
      <w:tr>
        <w:trPr>
          <w:cantSplit w:val="0"/>
          <w:trHeight w:val="261" w:hRule="atLeast"/>
          <w:tblHeader w:val="0"/>
        </w:trPr>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183">
            <w:pPr>
              <w:tabs>
                <w:tab w:val="left" w:leader="none" w:pos="72"/>
                <w:tab w:val="left" w:leader="none" w:pos="214"/>
              </w:tabs>
              <w:spacing w:after="0" w:line="240" w:lineRule="auto"/>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ab/>
              <w:t xml:space="preserve">Sinantrópico</w:t>
            </w:r>
          </w:p>
        </w:tc>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184">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22</w:t>
            </w:r>
          </w:p>
        </w:tc>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185">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0,09%</w:t>
            </w:r>
          </w:p>
        </w:tc>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186">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0,06%</w:t>
            </w:r>
          </w:p>
        </w:tc>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187">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0,13%</w:t>
            </w:r>
          </w:p>
        </w:tc>
      </w:tr>
      <w:tr>
        <w:trPr>
          <w:cantSplit w:val="0"/>
          <w:trHeight w:val="261" w:hRule="atLeast"/>
          <w:tblHeader w:val="0"/>
        </w:trPr>
        <w:tc>
          <w:tcPr>
            <w:tcBorders>
              <w:top w:color="000000" w:space="0" w:sz="4" w:val="single"/>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188">
            <w:pPr>
              <w:tabs>
                <w:tab w:val="left" w:leader="none" w:pos="72"/>
                <w:tab w:val="left" w:leader="none" w:pos="214"/>
              </w:tabs>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ab/>
              <w:tab/>
              <w:t xml:space="preserve">Bovina</w:t>
            </w:r>
          </w:p>
        </w:tc>
        <w:tc>
          <w:tcPr>
            <w:tcBorders>
              <w:top w:color="000000" w:space="0" w:sz="4" w:val="single"/>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189">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28</w:t>
            </w:r>
          </w:p>
        </w:tc>
        <w:tc>
          <w:tcPr>
            <w:tcBorders>
              <w:top w:color="000000" w:space="0" w:sz="4" w:val="single"/>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18A">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0,11%</w:t>
            </w:r>
          </w:p>
        </w:tc>
        <w:tc>
          <w:tcPr>
            <w:tcBorders>
              <w:top w:color="000000" w:space="0" w:sz="4" w:val="single"/>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18B">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0,08%</w:t>
            </w:r>
          </w:p>
        </w:tc>
        <w:tc>
          <w:tcPr>
            <w:tcBorders>
              <w:top w:color="000000" w:space="0" w:sz="4" w:val="single"/>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18C">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0,16%</w:t>
            </w:r>
          </w:p>
        </w:tc>
      </w:tr>
      <w:tr>
        <w:trPr>
          <w:cantSplit w:val="0"/>
          <w:trHeight w:val="261" w:hRule="atLeast"/>
          <w:tblHeader w:val="0"/>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18D">
            <w:pPr>
              <w:tabs>
                <w:tab w:val="left" w:leader="none" w:pos="72"/>
                <w:tab w:val="left" w:leader="none" w:pos="214"/>
              </w:tabs>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ab/>
              <w:tab/>
              <w:t xml:space="preserve">Asinino</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18E">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18F">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0,01%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190">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0,00%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191">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0,03%</w:t>
            </w:r>
          </w:p>
        </w:tc>
      </w:tr>
      <w:tr>
        <w:trPr>
          <w:cantSplit w:val="0"/>
          <w:trHeight w:val="261" w:hRule="atLeast"/>
          <w:tblHeader w:val="0"/>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192">
            <w:pPr>
              <w:tabs>
                <w:tab w:val="left" w:leader="none" w:pos="72"/>
                <w:tab w:val="left" w:leader="none" w:pos="214"/>
              </w:tabs>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ab/>
              <w:tab/>
              <w:t xml:space="preserve">Caprino</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193">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194">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0,00%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195">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0,00%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196">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0,02%</w:t>
            </w:r>
          </w:p>
        </w:tc>
      </w:tr>
      <w:tr>
        <w:trPr>
          <w:cantSplit w:val="0"/>
          <w:trHeight w:val="261" w:hRule="atLeast"/>
          <w:tblHeader w:val="0"/>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197">
            <w:pPr>
              <w:tabs>
                <w:tab w:val="left" w:leader="none" w:pos="72"/>
                <w:tab w:val="left" w:leader="none" w:pos="214"/>
              </w:tabs>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ab/>
              <w:tab/>
              <w:t xml:space="preserve">Cavalo</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198">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50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199">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0,20%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19A">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0,15%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19B">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0,26%</w:t>
            </w:r>
          </w:p>
        </w:tc>
      </w:tr>
      <w:tr>
        <w:trPr>
          <w:cantSplit w:val="0"/>
          <w:trHeight w:val="261" w:hRule="atLeast"/>
          <w:tblHeader w:val="0"/>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19C">
            <w:pPr>
              <w:tabs>
                <w:tab w:val="left" w:leader="none" w:pos="72"/>
                <w:tab w:val="left" w:leader="none" w:pos="214"/>
              </w:tabs>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ab/>
              <w:tab/>
              <w:t xml:space="preserve">Coelho</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19D">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19E">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0,02%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19F">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0,01%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1A0">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0,04%</w:t>
            </w:r>
          </w:p>
        </w:tc>
      </w:tr>
      <w:tr>
        <w:trPr>
          <w:cantSplit w:val="0"/>
          <w:trHeight w:val="261" w:hRule="atLeast"/>
          <w:tblHeader w:val="0"/>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1A1">
            <w:pPr>
              <w:tabs>
                <w:tab w:val="left" w:leader="none" w:pos="72"/>
                <w:tab w:val="left" w:leader="none" w:pos="214"/>
              </w:tabs>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ab/>
              <w:tab/>
              <w:t xml:space="preserve">Hamster</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1A2">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1A3">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0,01%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1A4">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0,00%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1A5">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0,03%</w:t>
            </w:r>
          </w:p>
        </w:tc>
      </w:tr>
      <w:tr>
        <w:trPr>
          <w:cantSplit w:val="0"/>
          <w:trHeight w:val="261" w:hRule="atLeast"/>
          <w:tblHeader w:val="0"/>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1A6">
            <w:pPr>
              <w:tabs>
                <w:tab w:val="left" w:leader="none" w:pos="72"/>
                <w:tab w:val="left" w:leader="none" w:pos="214"/>
              </w:tabs>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ab/>
              <w:tab/>
              <w:t xml:space="preserve">Ovina</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1A7">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1A8">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0,01%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1A9">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0,00%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1AA">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0,03%</w:t>
            </w:r>
          </w:p>
        </w:tc>
      </w:tr>
      <w:tr>
        <w:trPr>
          <w:cantSplit w:val="0"/>
          <w:trHeight w:val="261" w:hRule="atLeast"/>
          <w:tblHeader w:val="0"/>
        </w:trPr>
        <w:tc>
          <w:tcPr>
            <w:tcBorders>
              <w:top w:color="000000" w:space="0" w:sz="0" w:val="nil"/>
              <w:left w:color="000000" w:space="0" w:sz="0" w:val="nil"/>
              <w:right w:color="000000" w:space="0" w:sz="0" w:val="nil"/>
            </w:tcBorders>
            <w:shd w:fill="ffffff" w:val="clear"/>
            <w:vAlign w:val="bottom"/>
          </w:tcPr>
          <w:p w:rsidR="00000000" w:rsidDel="00000000" w:rsidP="00000000" w:rsidRDefault="00000000" w:rsidRPr="00000000" w14:paraId="000001AB">
            <w:pPr>
              <w:tabs>
                <w:tab w:val="left" w:leader="none" w:pos="72"/>
                <w:tab w:val="left" w:leader="none" w:pos="214"/>
              </w:tabs>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ab/>
              <w:tab/>
              <w:t xml:space="preserve">Suína</w:t>
            </w:r>
          </w:p>
        </w:tc>
        <w:tc>
          <w:tcPr>
            <w:tcBorders>
              <w:top w:color="000000" w:space="0" w:sz="0" w:val="nil"/>
              <w:left w:color="000000" w:space="0" w:sz="0" w:val="nil"/>
              <w:right w:color="000000" w:space="0" w:sz="0" w:val="nil"/>
            </w:tcBorders>
            <w:shd w:fill="ffffff" w:val="clear"/>
            <w:vAlign w:val="bottom"/>
          </w:tcPr>
          <w:p w:rsidR="00000000" w:rsidDel="00000000" w:rsidP="00000000" w:rsidRDefault="00000000" w:rsidRPr="00000000" w14:paraId="000001AC">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28</w:t>
            </w:r>
          </w:p>
        </w:tc>
        <w:tc>
          <w:tcPr>
            <w:tcBorders>
              <w:top w:color="000000" w:space="0" w:sz="0" w:val="nil"/>
              <w:left w:color="000000" w:space="0" w:sz="0" w:val="nil"/>
              <w:right w:color="000000" w:space="0" w:sz="0" w:val="nil"/>
            </w:tcBorders>
            <w:shd w:fill="ffffff" w:val="clear"/>
            <w:vAlign w:val="bottom"/>
          </w:tcPr>
          <w:p w:rsidR="00000000" w:rsidDel="00000000" w:rsidP="00000000" w:rsidRDefault="00000000" w:rsidRPr="00000000" w14:paraId="000001AD">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0,11%</w:t>
            </w:r>
          </w:p>
        </w:tc>
        <w:tc>
          <w:tcPr>
            <w:tcBorders>
              <w:top w:color="000000" w:space="0" w:sz="0" w:val="nil"/>
              <w:left w:color="000000" w:space="0" w:sz="0" w:val="nil"/>
              <w:right w:color="000000" w:space="0" w:sz="0" w:val="nil"/>
            </w:tcBorders>
            <w:shd w:fill="ffffff" w:val="clear"/>
            <w:vAlign w:val="bottom"/>
          </w:tcPr>
          <w:p w:rsidR="00000000" w:rsidDel="00000000" w:rsidP="00000000" w:rsidRDefault="00000000" w:rsidRPr="00000000" w14:paraId="000001AE">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0,08%</w:t>
            </w:r>
          </w:p>
        </w:tc>
        <w:tc>
          <w:tcPr>
            <w:tcBorders>
              <w:top w:color="000000" w:space="0" w:sz="0" w:val="nil"/>
              <w:left w:color="000000" w:space="0" w:sz="0" w:val="nil"/>
              <w:right w:color="000000" w:space="0" w:sz="0" w:val="nil"/>
            </w:tcBorders>
            <w:shd w:fill="ffffff" w:val="clear"/>
            <w:vAlign w:val="bottom"/>
          </w:tcPr>
          <w:p w:rsidR="00000000" w:rsidDel="00000000" w:rsidP="00000000" w:rsidRDefault="00000000" w:rsidRPr="00000000" w14:paraId="000001AF">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0,16%</w:t>
            </w:r>
          </w:p>
        </w:tc>
      </w:tr>
      <w:tr>
        <w:trPr>
          <w:cantSplit w:val="0"/>
          <w:trHeight w:val="261" w:hRule="atLeast"/>
          <w:tblHeader w:val="0"/>
        </w:trPr>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1B0">
            <w:pPr>
              <w:tabs>
                <w:tab w:val="left" w:leader="none" w:pos="72"/>
                <w:tab w:val="left" w:leader="none" w:pos="214"/>
              </w:tabs>
              <w:spacing w:after="0" w:line="240" w:lineRule="auto"/>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ab/>
              <w:t xml:space="preserve">Herbívoro</w:t>
            </w:r>
          </w:p>
        </w:tc>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1B1">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121</w:t>
            </w:r>
          </w:p>
        </w:tc>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1B2">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0,47%</w:t>
            </w:r>
          </w:p>
        </w:tc>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1B3">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0,40%</w:t>
            </w:r>
          </w:p>
        </w:tc>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1B4">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0,57%</w:t>
            </w:r>
          </w:p>
        </w:tc>
      </w:tr>
      <w:tr>
        <w:trPr>
          <w:cantSplit w:val="0"/>
          <w:trHeight w:val="261" w:hRule="atLeast"/>
          <w:tblHeader w:val="0"/>
        </w:trPr>
        <w:tc>
          <w:tcPr>
            <w:tcBorders>
              <w:top w:color="000000" w:space="0" w:sz="4" w:val="single"/>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1B5">
            <w:pPr>
              <w:tabs>
                <w:tab w:val="left" w:leader="none" w:pos="72"/>
                <w:tab w:val="left" w:leader="none" w:pos="214"/>
              </w:tabs>
              <w:spacing w:after="0" w:line="240" w:lineRule="auto"/>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ab/>
              <w:t xml:space="preserve">Não identificado</w:t>
            </w:r>
          </w:p>
        </w:tc>
        <w:tc>
          <w:tcPr>
            <w:tcBorders>
              <w:top w:color="000000" w:space="0" w:sz="4" w:val="single"/>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1B6">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33</w:t>
            </w:r>
          </w:p>
        </w:tc>
        <w:tc>
          <w:tcPr>
            <w:tcBorders>
              <w:top w:color="000000" w:space="0" w:sz="4" w:val="single"/>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1B7">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0,13%</w:t>
            </w:r>
          </w:p>
        </w:tc>
        <w:tc>
          <w:tcPr>
            <w:tcBorders>
              <w:top w:color="000000" w:space="0" w:sz="4" w:val="single"/>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1B8">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0,09%</w:t>
            </w:r>
          </w:p>
        </w:tc>
        <w:tc>
          <w:tcPr>
            <w:tcBorders>
              <w:top w:color="000000" w:space="0" w:sz="4" w:val="single"/>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1B9">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0,18%</w:t>
            </w:r>
          </w:p>
        </w:tc>
      </w:tr>
      <w:tr>
        <w:trPr>
          <w:cantSplit w:val="0"/>
          <w:trHeight w:val="275" w:hRule="atLeast"/>
          <w:tblHeader w:val="0"/>
        </w:trPr>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1BA">
            <w:pPr>
              <w:tabs>
                <w:tab w:val="left" w:leader="none" w:pos="72"/>
                <w:tab w:val="left" w:leader="none" w:pos="214"/>
              </w:tabs>
              <w:spacing w:after="0" w:line="240" w:lineRule="auto"/>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Total</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1BB">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25576</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1BC">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100,00%</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1BD">
            <w:pPr>
              <w:spacing w:after="0" w:line="240" w:lineRule="auto"/>
              <w:jc w:val="right"/>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1BE">
            <w:pPr>
              <w:spacing w:after="0" w:line="240" w:lineRule="auto"/>
              <w:jc w:val="right"/>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 </w:t>
            </w:r>
          </w:p>
        </w:tc>
      </w:tr>
    </w:tbl>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113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 ocorrências registradas com acidentes de animais herbívoros foram 121 no total, o ano de 2019 foi o que apresentou maior frequência, n= 20 (16,52%; IC95%: 10,98- 24,17), seguido pelo ano de 2008 e 2017 com n=17 (14,04%; IC95%: 8,98- 21,37) e a menor foi no ano de 2007 com três (2,47%; IC95%: 0,9 -7,01). Em relação ao total de casos por bairros, Mangabeira, Maria Quitéria e Queimadinha apresentaram oito casos (6,61%; IC95%: 3,42- 12,51), enquanto SIM e Tomba, sete casos (5,78%; IC95%: 2,87-11,46) como mostra a Figura 19 (Apêndice 3). </w:t>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113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Os agravos por animais silvestres e sinantrópicos registraram um total de 477 notificações, o ano de 2018 com n=64 (13,41%; IC95%: 10,65- 16,77) casos foi o com maior frequência e em 2013 com n=24 (5,31%; IC95%: 3,41- 7,37) o menor.  Com relação aos bairros, houve maior número de registros no Tomba (n=35; 7,33%; IC95%: 5,33- 10,03), Campo Limpo (n=33; IC 6,91%; IC95%: 4,97-9,55), Queimadinha (n=26; 5,45%; IC95%: 3,75 – 7,86), Rua Nova (n=24; 5,03%; IC95%: 3,41-7,38), Brasília (n=22; 4,61%; IC95%: 3,07-6,88) e Calumbi (n=21; 4,40%; IC95%: 2,90 – 6,63).  A Figura 20 (Apêndice 3) representa a distribuição por bairro e ano dos agravos por animais silvestres e sinantrópicos a humanos em Feira de Santana, BA.</w:t>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113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Nas agressões por ano foram observadas tendências de crescimentos com oscilações, principalmente em cães, sendo observados picos nos anos de 2009 (n=1878) e 2015 (n=1909). Com os gatos houve um crescimento anual até um pico em 2018 (n=535), logo depois ocorre uma rápida queda em 2019 (n=457), como verificado nas  Figura 11 e 12 (Apêndice 1).  Entre os animais silvestres ocorre um crescimento com oscilações entre os anos de 2009 (n=52), 2017 (n=54) e 2018 (n=61) sendo que 2015 (n=45) registra queda.  Quando observado os herbívoros existe uma alta oscilação no ano de 2008 (n=17) mas diminui e oscila entre os anos, ocorrendo um crescimento novamente no ano de 2017 (n=17) e 2019 (n=20). Para os animais sinantrópicos há oscilação entre duas e três notificações anuais, não sendo registrados casos nos anos de 2008, 2009 e 2012 (Figura 12, Apêndice 1). </w:t>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113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Os coeficientes de autocorrelação espacial diferencial para a frequência absoluta de agravos a humanos segundo os grupos de espécies são apresentados na Tabela 6 (Apêndice 2).  Para carnívoros, os pares 2013x2014 e 2015x2016 tiveram correlações significativas como na Figura 13 (Apêndice 1).  A figura 2 representa os aglomerados de casos encontrados. A Figura 21 (Apêndice 4) apresenta os gráficos de dispersão para cada par de anos avaliado.</w:t>
      </w:r>
    </w:p>
    <w:p w:rsidR="00000000" w:rsidDel="00000000" w:rsidP="00000000" w:rsidRDefault="00000000" w:rsidRPr="00000000" w14:paraId="000001C3">
      <w:pPr>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60" w:before="120" w:line="240" w:lineRule="auto"/>
        <w:ind w:left="1134" w:right="0" w:hanging="1134"/>
        <w:jc w:val="both"/>
        <w:rPr>
          <w:rFonts w:ascii="Times New Roman" w:cs="Times New Roman" w:eastAsia="Times New Roman" w:hAnsi="Times New Roman"/>
          <w:b w:val="0"/>
          <w:i w:val="0"/>
          <w:smallCaps w:val="0"/>
          <w:strike w:val="0"/>
          <w:color w:val="000000"/>
          <w:sz w:val="22"/>
          <w:szCs w:val="22"/>
          <w:u w:val="none"/>
          <w:shd w:fill="auto" w:val="clear"/>
          <w:vertAlign w:val="baseline"/>
        </w:rPr>
      </w:pPr>
      <w:bookmarkStart w:colFirst="0" w:colLast="0" w:name="_heading=h.1ci93xb" w:id="23"/>
      <w:bookmarkEnd w:id="23"/>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Figura 2.</w:t>
        <w:tab/>
        <w:t xml:space="preserve">Mapas de aglomerados (A e B) de autocorrelação espacial (coeficiente diferencial I de Moran) para os pares de anos 2013x2014 (A) e 2015x2016 (B) das frequências absolutas de agravos a humanos por carnívoros. Feira de Santana, BA. 2008 a 2019.</w:t>
      </w:r>
    </w:p>
    <w:p w:rsidR="00000000" w:rsidDel="00000000" w:rsidP="00000000" w:rsidRDefault="00000000" w:rsidRPr="00000000" w14:paraId="000001C5">
      <w:pPr>
        <w:ind w:left="1134"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0" distT="0" distL="0" distR="0">
            <wp:extent cx="4680000" cy="3411249"/>
            <wp:effectExtent b="0" l="0" r="0" t="0"/>
            <wp:docPr descr="Uma imagem contendo Gráfico&#10;&#10;Descrição gerada automaticamente" id="157" name="image53.png"/>
            <a:graphic>
              <a:graphicData uri="http://schemas.openxmlformats.org/drawingml/2006/picture">
                <pic:pic>
                  <pic:nvPicPr>
                    <pic:cNvPr descr="Uma imagem contendo Gráfico&#10;&#10;Descrição gerada automaticamente" id="0" name="image53.png"/>
                    <pic:cNvPicPr preferRelativeResize="0"/>
                  </pic:nvPicPr>
                  <pic:blipFill>
                    <a:blip r:embed="rId27"/>
                    <a:srcRect b="0" l="0" r="0" t="0"/>
                    <a:stretch>
                      <a:fillRect/>
                    </a:stretch>
                  </pic:blipFill>
                  <pic:spPr>
                    <a:xfrm>
                      <a:off x="0" y="0"/>
                      <a:ext cx="4680000" cy="3411249"/>
                    </a:xfrm>
                    <a:prstGeom prst="rect"/>
                    <a:ln/>
                  </pic:spPr>
                </pic:pic>
              </a:graphicData>
            </a:graphic>
          </wp:inline>
        </w:drawing>
      </w:r>
      <w:r w:rsidDel="00000000" w:rsidR="00000000" w:rsidRPr="00000000">
        <w:rPr>
          <w:rFonts w:ascii="Times New Roman" w:cs="Times New Roman" w:eastAsia="Times New Roman" w:hAnsi="Times New Roman"/>
          <w:b w:val="1"/>
          <w:rtl w:val="0"/>
        </w:rPr>
        <w:t xml:space="preserve">A</w:t>
      </w:r>
      <w:r w:rsidDel="00000000" w:rsidR="00000000" w:rsidRPr="00000000">
        <w:rPr>
          <w:rFonts w:ascii="Times New Roman" w:cs="Times New Roman" w:eastAsia="Times New Roman" w:hAnsi="Times New Roman"/>
          <w:b w:val="1"/>
        </w:rPr>
        <w:drawing>
          <wp:inline distB="0" distT="0" distL="0" distR="0">
            <wp:extent cx="4680000" cy="3411252"/>
            <wp:effectExtent b="0" l="0" r="0" t="0"/>
            <wp:docPr descr="Mapa&#10;&#10;Descrição gerada automaticamente" id="155" name="image55.png"/>
            <a:graphic>
              <a:graphicData uri="http://schemas.openxmlformats.org/drawingml/2006/picture">
                <pic:pic>
                  <pic:nvPicPr>
                    <pic:cNvPr descr="Mapa&#10;&#10;Descrição gerada automaticamente" id="0" name="image55.png"/>
                    <pic:cNvPicPr preferRelativeResize="0"/>
                  </pic:nvPicPr>
                  <pic:blipFill>
                    <a:blip r:embed="rId28"/>
                    <a:srcRect b="0" l="0" r="0" t="0"/>
                    <a:stretch>
                      <a:fillRect/>
                    </a:stretch>
                  </pic:blipFill>
                  <pic:spPr>
                    <a:xfrm>
                      <a:off x="0" y="0"/>
                      <a:ext cx="4680000" cy="3411252"/>
                    </a:xfrm>
                    <a:prstGeom prst="rect"/>
                    <a:ln/>
                  </pic:spPr>
                </pic:pic>
              </a:graphicData>
            </a:graphic>
          </wp:inline>
        </w:drawing>
      </w:r>
      <w:r w:rsidDel="00000000" w:rsidR="00000000" w:rsidRPr="00000000">
        <w:rPr>
          <w:rFonts w:ascii="Times New Roman" w:cs="Times New Roman" w:eastAsia="Times New Roman" w:hAnsi="Times New Roman"/>
          <w:b w:val="1"/>
          <w:rtl w:val="0"/>
        </w:rPr>
        <w:t xml:space="preserve">B</w:t>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113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Para herbívoros, os pares 2011x2012 e 2012x2013 tiveram correlações significativas como representadas na Figura 14 (Apêndice 1). A figura 3 (A) representa os aglomerados de casos encontrados.  A Figura 22 (Apêndice 4) apresenta os gráficos de dispersão para cada par de anos avaliado.</w:t>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60" w:before="120" w:line="240" w:lineRule="auto"/>
        <w:ind w:left="1134" w:right="0" w:hanging="1134"/>
        <w:jc w:val="both"/>
        <w:rPr>
          <w:rFonts w:ascii="Times New Roman" w:cs="Times New Roman" w:eastAsia="Times New Roman" w:hAnsi="Times New Roman"/>
          <w:b w:val="0"/>
          <w:i w:val="0"/>
          <w:smallCaps w:val="0"/>
          <w:strike w:val="0"/>
          <w:color w:val="000000"/>
          <w:sz w:val="22"/>
          <w:szCs w:val="22"/>
          <w:u w:val="none"/>
          <w:shd w:fill="auto" w:val="clear"/>
          <w:vertAlign w:val="baseline"/>
        </w:rPr>
      </w:pPr>
      <w:bookmarkStart w:colFirst="0" w:colLast="0" w:name="_heading=h.3whwml4" w:id="24"/>
      <w:bookmarkEnd w:id="24"/>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Figura 3..</w:t>
        <w:tab/>
        <w:t xml:space="preserve">Mapas de aglomerados (A e B) de autocorrelação espacial (coeficiente diferencial I de Moran) para os pares de anos 2011x2012 (A) e 2012x2013 (B) das frequências absolutas de agravos a humanos por herbívoros. Feira de Santana, BA. 2008 a 2019.</w:t>
      </w:r>
    </w:p>
    <w:p w:rsidR="00000000" w:rsidDel="00000000" w:rsidP="00000000" w:rsidRDefault="00000000" w:rsidRPr="00000000" w14:paraId="000001C8">
      <w:pPr>
        <w:ind w:left="1134" w:firstLine="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4680000" cy="3411252"/>
            <wp:effectExtent b="0" l="0" r="0" t="0"/>
            <wp:docPr descr="Mapa&#10;&#10;Descrição gerada automaticamente" id="162" name="image71.png"/>
            <a:graphic>
              <a:graphicData uri="http://schemas.openxmlformats.org/drawingml/2006/picture">
                <pic:pic>
                  <pic:nvPicPr>
                    <pic:cNvPr descr="Mapa&#10;&#10;Descrição gerada automaticamente" id="0" name="image71.png"/>
                    <pic:cNvPicPr preferRelativeResize="0"/>
                  </pic:nvPicPr>
                  <pic:blipFill>
                    <a:blip r:embed="rId29"/>
                    <a:srcRect b="0" l="0" r="0" t="0"/>
                    <a:stretch>
                      <a:fillRect/>
                    </a:stretch>
                  </pic:blipFill>
                  <pic:spPr>
                    <a:xfrm>
                      <a:off x="0" y="0"/>
                      <a:ext cx="4680000" cy="3411252"/>
                    </a:xfrm>
                    <a:prstGeom prst="rect"/>
                    <a:ln/>
                  </pic:spPr>
                </pic:pic>
              </a:graphicData>
            </a:graphic>
          </wp:inline>
        </w:drawing>
      </w:r>
      <w:r w:rsidDel="00000000" w:rsidR="00000000" w:rsidRPr="00000000">
        <w:rPr>
          <w:rFonts w:ascii="Times New Roman" w:cs="Times New Roman" w:eastAsia="Times New Roman" w:hAnsi="Times New Roman"/>
          <w:b w:val="1"/>
          <w:sz w:val="20"/>
          <w:szCs w:val="20"/>
          <w:rtl w:val="0"/>
        </w:rPr>
        <w:t xml:space="preserve">A</w:t>
      </w:r>
      <w:r w:rsidDel="00000000" w:rsidR="00000000" w:rsidRPr="00000000">
        <w:rPr>
          <w:rFonts w:ascii="Times New Roman" w:cs="Times New Roman" w:eastAsia="Times New Roman" w:hAnsi="Times New Roman"/>
          <w:sz w:val="20"/>
          <w:szCs w:val="20"/>
        </w:rPr>
        <w:drawing>
          <wp:inline distB="0" distT="0" distL="0" distR="0">
            <wp:extent cx="4680000" cy="3411253"/>
            <wp:effectExtent b="0" l="0" r="0" t="0"/>
            <wp:docPr descr="Mapa&#10;&#10;Descrição gerada automaticamente" id="158" name="image57.png"/>
            <a:graphic>
              <a:graphicData uri="http://schemas.openxmlformats.org/drawingml/2006/picture">
                <pic:pic>
                  <pic:nvPicPr>
                    <pic:cNvPr descr="Mapa&#10;&#10;Descrição gerada automaticamente" id="0" name="image57.png"/>
                    <pic:cNvPicPr preferRelativeResize="0"/>
                  </pic:nvPicPr>
                  <pic:blipFill>
                    <a:blip r:embed="rId30"/>
                    <a:srcRect b="0" l="0" r="0" t="0"/>
                    <a:stretch>
                      <a:fillRect/>
                    </a:stretch>
                  </pic:blipFill>
                  <pic:spPr>
                    <a:xfrm>
                      <a:off x="0" y="0"/>
                      <a:ext cx="4680000" cy="3411253"/>
                    </a:xfrm>
                    <a:prstGeom prst="rect"/>
                    <a:ln/>
                  </pic:spPr>
                </pic:pic>
              </a:graphicData>
            </a:graphic>
          </wp:inline>
        </w:drawing>
      </w:r>
      <w:r w:rsidDel="00000000" w:rsidR="00000000" w:rsidRPr="00000000">
        <w:rPr>
          <w:rFonts w:ascii="Times New Roman" w:cs="Times New Roman" w:eastAsia="Times New Roman" w:hAnsi="Times New Roman"/>
          <w:b w:val="1"/>
          <w:sz w:val="20"/>
          <w:szCs w:val="20"/>
          <w:rtl w:val="0"/>
        </w:rPr>
        <w:t xml:space="preserve">B</w:t>
      </w:r>
      <w:r w:rsidDel="00000000" w:rsidR="00000000" w:rsidRPr="00000000">
        <w:rPr>
          <w:rtl w:val="0"/>
        </w:rPr>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113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Para silvestres e sinantrópicos, os pares 2012x2013, 2013x2014 e 2015x2016 tiveram correlações significativas (Figura 4) e Figura 15 (Apêndice 1). A figura 4 representa aglomerados de casos encontrados. A Figura 23 (Apêndice 4) apresenta os gráficos de dispersão para cada par de anos avaliado.</w:t>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60" w:before="120" w:line="240" w:lineRule="auto"/>
        <w:ind w:left="1134" w:right="0" w:hanging="1134"/>
        <w:jc w:val="both"/>
        <w:rPr>
          <w:rFonts w:ascii="Times New Roman" w:cs="Times New Roman" w:eastAsia="Times New Roman" w:hAnsi="Times New Roman"/>
          <w:b w:val="0"/>
          <w:i w:val="1"/>
          <w:smallCaps w:val="0"/>
          <w:strike w:val="0"/>
          <w:color w:val="000000"/>
          <w:sz w:val="22"/>
          <w:szCs w:val="22"/>
          <w:u w:val="none"/>
          <w:shd w:fill="auto" w:val="clear"/>
          <w:vertAlign w:val="baseline"/>
        </w:rPr>
      </w:pPr>
      <w:bookmarkStart w:colFirst="0" w:colLast="0" w:name="_heading=h.2bn6wsx" w:id="25"/>
      <w:bookmarkEnd w:id="25"/>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Figura 4.</w:t>
        <w:tab/>
        <w:t xml:space="preserve">Mapas de aglomerados (A, B e C) de autocorrelação espacial (coeficiente diferencial I de Moran) para os pares de anos 2012x2013 (A), 2013x2014 (B) e 2015x2016 (C) das frequências absolutas de agravos a humanos por silvestres. Feira de Santana, BA. 2008 a 2019.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continua</w:t>
      </w:r>
    </w:p>
    <w:p w:rsidR="00000000" w:rsidDel="00000000" w:rsidP="00000000" w:rsidRDefault="00000000" w:rsidRPr="00000000" w14:paraId="000001CB">
      <w:pPr>
        <w:ind w:left="1134"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0"/>
          <w:szCs w:val="20"/>
        </w:rPr>
        <w:drawing>
          <wp:inline distB="0" distT="0" distL="0" distR="0">
            <wp:extent cx="4680000" cy="3411252"/>
            <wp:effectExtent b="0" l="0" r="0" t="0"/>
            <wp:docPr descr="Uma imagem contendo Mapa&#10;&#10;Descrição gerada automaticamente" id="160" name="image50.png"/>
            <a:graphic>
              <a:graphicData uri="http://schemas.openxmlformats.org/drawingml/2006/picture">
                <pic:pic>
                  <pic:nvPicPr>
                    <pic:cNvPr descr="Uma imagem contendo Mapa&#10;&#10;Descrição gerada automaticamente" id="0" name="image50.png"/>
                    <pic:cNvPicPr preferRelativeResize="0"/>
                  </pic:nvPicPr>
                  <pic:blipFill>
                    <a:blip r:embed="rId31"/>
                    <a:srcRect b="0" l="0" r="0" t="0"/>
                    <a:stretch>
                      <a:fillRect/>
                    </a:stretch>
                  </pic:blipFill>
                  <pic:spPr>
                    <a:xfrm>
                      <a:off x="0" y="0"/>
                      <a:ext cx="4680000" cy="3411252"/>
                    </a:xfrm>
                    <a:prstGeom prst="rect"/>
                    <a:ln/>
                  </pic:spPr>
                </pic:pic>
              </a:graphicData>
            </a:graphic>
          </wp:inline>
        </w:drawing>
      </w:r>
      <w:r w:rsidDel="00000000" w:rsidR="00000000" w:rsidRPr="00000000">
        <w:rPr>
          <w:rFonts w:ascii="Times New Roman" w:cs="Times New Roman" w:eastAsia="Times New Roman" w:hAnsi="Times New Roman"/>
          <w:b w:val="1"/>
          <w:sz w:val="24"/>
          <w:szCs w:val="24"/>
          <w:rtl w:val="0"/>
        </w:rPr>
        <w:t xml:space="preserve">A</w:t>
      </w:r>
      <w:r w:rsidDel="00000000" w:rsidR="00000000" w:rsidRPr="00000000">
        <w:rPr>
          <w:rFonts w:ascii="Times New Roman" w:cs="Times New Roman" w:eastAsia="Times New Roman" w:hAnsi="Times New Roman"/>
          <w:sz w:val="20"/>
          <w:szCs w:val="20"/>
        </w:rPr>
        <w:drawing>
          <wp:inline distB="0" distT="0" distL="0" distR="0">
            <wp:extent cx="4680000" cy="3411255"/>
            <wp:effectExtent b="0" l="0" r="0" t="0"/>
            <wp:docPr descr="Uma imagem contendo Gráfico&#10;&#10;Descrição gerada automaticamente" id="163" name="image49.png"/>
            <a:graphic>
              <a:graphicData uri="http://schemas.openxmlformats.org/drawingml/2006/picture">
                <pic:pic>
                  <pic:nvPicPr>
                    <pic:cNvPr descr="Uma imagem contendo Gráfico&#10;&#10;Descrição gerada automaticamente" id="0" name="image49.png"/>
                    <pic:cNvPicPr preferRelativeResize="0"/>
                  </pic:nvPicPr>
                  <pic:blipFill>
                    <a:blip r:embed="rId32"/>
                    <a:srcRect b="0" l="0" r="0" t="0"/>
                    <a:stretch>
                      <a:fillRect/>
                    </a:stretch>
                  </pic:blipFill>
                  <pic:spPr>
                    <a:xfrm>
                      <a:off x="0" y="0"/>
                      <a:ext cx="4680000" cy="3411255"/>
                    </a:xfrm>
                    <a:prstGeom prst="rect"/>
                    <a:ln/>
                  </pic:spPr>
                </pic:pic>
              </a:graphicData>
            </a:graphic>
          </wp:inline>
        </w:drawing>
      </w:r>
      <w:r w:rsidDel="00000000" w:rsidR="00000000" w:rsidRPr="00000000">
        <w:rPr>
          <w:rFonts w:ascii="Times New Roman" w:cs="Times New Roman" w:eastAsia="Times New Roman" w:hAnsi="Times New Roman"/>
          <w:b w:val="1"/>
          <w:sz w:val="24"/>
          <w:szCs w:val="24"/>
          <w:rtl w:val="0"/>
        </w:rPr>
        <w:t xml:space="preserve">B</w:t>
      </w:r>
    </w:p>
    <w:p w:rsidR="00000000" w:rsidDel="00000000" w:rsidP="00000000" w:rsidRDefault="00000000" w:rsidRPr="00000000" w14:paraId="000001CC">
      <w:pPr>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60" w:before="120" w:line="240" w:lineRule="auto"/>
        <w:ind w:left="1134" w:right="0" w:hanging="1134"/>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Figura 4.</w:t>
        <w:tab/>
        <w:t xml:space="preserve">Mapas de aglomerados (A, B e C) de autocorrelação espacial (coeficiente diferencial I de Moran) para os pares de anos 2012x2013 (A), 2013x2014 (B) e 2015x2016 (C) das frequências absolutas de agravos a humanos por silvestres. Feira de Santana, BA. 2008 a 2019.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continuação</w:t>
      </w:r>
    </w:p>
    <w:p w:rsidR="00000000" w:rsidDel="00000000" w:rsidP="00000000" w:rsidRDefault="00000000" w:rsidRPr="00000000" w14:paraId="000001CE">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4680000" cy="3411258"/>
            <wp:effectExtent b="0" l="0" r="0" t="0"/>
            <wp:docPr descr="Mapa&#10;&#10;Descrição gerada automaticamente" id="166" name="image52.png"/>
            <a:graphic>
              <a:graphicData uri="http://schemas.openxmlformats.org/drawingml/2006/picture">
                <pic:pic>
                  <pic:nvPicPr>
                    <pic:cNvPr descr="Mapa&#10;&#10;Descrição gerada automaticamente" id="0" name="image52.png"/>
                    <pic:cNvPicPr preferRelativeResize="0"/>
                  </pic:nvPicPr>
                  <pic:blipFill>
                    <a:blip r:embed="rId33"/>
                    <a:srcRect b="0" l="0" r="0" t="0"/>
                    <a:stretch>
                      <a:fillRect/>
                    </a:stretch>
                  </pic:blipFill>
                  <pic:spPr>
                    <a:xfrm>
                      <a:off x="0" y="0"/>
                      <a:ext cx="4680000" cy="3411258"/>
                    </a:xfrm>
                    <a:prstGeom prst="rect"/>
                    <a:ln/>
                  </pic:spPr>
                </pic:pic>
              </a:graphicData>
            </a:graphic>
          </wp:inline>
        </w:drawing>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tl w:val="0"/>
        </w:rPr>
      </w:r>
    </w:p>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113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Os cães são a principal fonte de transmissão da raiva aos seres humanos, que contribuem cerca de 99% das infecções resultando em óbitos no mundo (BRASIL, 2019). Nossos resultados corroboram com outros estudos, onde o cão é a espécie agressora mais frequente seguidos por felinos (CALVALVANTE, 2017; DUARTE, 2021; LOPES 2014; OLIVEIRA et al 2012).  Os casos notificados de agravos por herbívoros representaram poucos, mas é importante dizer que na zona rural a doença afeta bovinos, equinos e suínos, que podem ser infectados por morcegos hematófagos que normalmente tem nestes animais de produção fonte alimentar ao sugar o sangue e transmitir a doença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BENAVIDES JA et al 2020;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BRASIL, 2009; BRASIL, 2010; DUARTE, 2021). </w:t>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1134"/>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Segundo Da Silva (2021) a transmissão do vírus rábico no Nordeste brasileiro nos dias de hoje pode ser mantida graças à participação de animais silvestres, como morcegos hematófagos e insetívoros, cuja presença tem sido notificada em algumas cidades nordestinas.  A proximidade com os animais domésticos, silvestres, e herbívoros as pessoas podem estar expostas a situações de risco que favoreça a transmissão da raiva, quando ocorre à agressão por animais infectados. Em um estudo no Brasil do período</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de 2008 a 2016 foram analisados dados de agravos de animais a  humanos no SINAN, após serem mordidos por um animal doméstico ou selvagem, embora a incidência de mordidas por animais silvestres foi de 1,4% e entre esse grupo foram atribuídas a morcegos 49,8% e primatas com 39,6%, possa ser muito menor do que para cães com 82,3% e gatos com 12,5%, ainda há um número considerável de pacientes que procuram atendimento de saúde devido a mordidas de animais silvestres em todo o Brasil. </w:t>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1134"/>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Apesar das mordidas de animais silvestres apresentarem menos registros no banco de dados no sistema de saúde, elas representam um maior risco de raiva para humanos, devido a circulação do vírus da raiva nessas espécies, com a ausência de estratégias bem-sucedidas para controlar a raiva de morcegos hematófagos (BENAVIDES JA, et al 2020;BENAVIDES JÁ, et al 2017). </w:t>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1134"/>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Podemos observar que o número de acidentes por animais carnívoros é muito maior que outras espécies envolvidas.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egundo Oliveira et al. (2012) em um estudo realizado em Minas Gerais destacam que além de cães e gatos serem os mais avaliados em casos de agressões, houve a ausência no campo de preenchimento na ficha do SINAN,  relacionados aos ataques por herbívoros, consistindo assim em 2,39% do total das agressões (OLIVEIRA, et al, 2012). Além disso, a subnotificação de casos, exceto as mordeduras, a população sem informações não reconhece as lambeduras e arranhaduras como agravo (CALVALCANTE, 2017). O que foi percebido em outros estudos realizados no Brasil, é que a população estar mais informada para acidentes com mordeduras por cães e gatos  em virtude de campanhas educativas do Ministério da Saúde, ou com o acesso mais facilitado ao sistema de saúde (WADA; ROCHA; ELKHOURY, 2011; SOBRAL-FILHO,2012) </w:t>
      </w:r>
      <w:r w:rsidDel="00000000" w:rsidR="00000000" w:rsidRPr="00000000">
        <w:rPr>
          <w:rtl w:val="0"/>
        </w:rPr>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113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 relação a correlação espacial de agravos por animais a humanos durante o período temporal entre o ano de 2008 a 2019, foi possível observar que houve aglomerados entre os pares de anos de 2011x2012, 2012x2013, 2013x2014, 2015x2016. Apesar de serem detectadas correlações espaciais em determinados pares de anos e grupos de espécies, as mesmas não seguem um padrão que permita distinguir uma relação temporal ou mesmo espacial para a frequência de agravos. </w:t>
      </w:r>
    </w:p>
    <w:p w:rsidR="00000000" w:rsidDel="00000000" w:rsidP="00000000" w:rsidRDefault="00000000" w:rsidRPr="00000000" w14:paraId="000001D4">
      <w:pPr>
        <w:pStyle w:val="Heading3"/>
        <w:ind w:firstLine="1134"/>
        <w:rPr/>
      </w:pPr>
      <w:bookmarkStart w:colFirst="0" w:colLast="0" w:name="_heading=h.qsh70q" w:id="26"/>
      <w:bookmarkEnd w:id="26"/>
      <w:r w:rsidDel="00000000" w:rsidR="00000000" w:rsidRPr="00000000">
        <w:rPr>
          <w:rtl w:val="0"/>
        </w:rPr>
        <w:t xml:space="preserve">Associação entre os índices de Desenvolvimento Humano (IDH) e de Vulnerabilidade da Saúde (IVS) e a distribuição dos agravos</w:t>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113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IDH foi recalculado para cada bairro de Feira de Santana, tendo como base os dados do Censo 2010.  Como se depreende da Figura 5, que apresenta a distribuição do IDH segundo os quartis, a maior parte dos bairros periféricos e distritos rurais do município apresentam IDHs abaixo de 0,814, enquanto a grande maioria dos bairros na zona urbana da cidade apresentam valores de IDH acima dessa mediana.</w:t>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60" w:before="120" w:line="240" w:lineRule="auto"/>
        <w:ind w:left="1134" w:right="0" w:hanging="1134"/>
        <w:jc w:val="both"/>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heading=h.3as4poj" w:id="27"/>
      <w:bookmarkEnd w:id="27"/>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Figura 5.</w:t>
        <w:tab/>
        <w:t xml:space="preserve">Distribuição dos percentis do índice de desenvolvimento humano (IDH) para o município de Feira de Santana. 2022.</w:t>
      </w:r>
    </w:p>
    <w:p w:rsidR="00000000" w:rsidDel="00000000" w:rsidP="00000000" w:rsidRDefault="00000000" w:rsidRPr="00000000" w14:paraId="000001D7">
      <w:pPr>
        <w:ind w:left="1134"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4680000" cy="3166548"/>
            <wp:effectExtent b="0" l="0" r="0" t="0"/>
            <wp:docPr id="168" name="image64.png"/>
            <a:graphic>
              <a:graphicData uri="http://schemas.openxmlformats.org/drawingml/2006/picture">
                <pic:pic>
                  <pic:nvPicPr>
                    <pic:cNvPr id="0" name="image64.png"/>
                    <pic:cNvPicPr preferRelativeResize="0"/>
                  </pic:nvPicPr>
                  <pic:blipFill>
                    <a:blip r:embed="rId34"/>
                    <a:srcRect b="0" l="0" r="17219" t="0"/>
                    <a:stretch>
                      <a:fillRect/>
                    </a:stretch>
                  </pic:blipFill>
                  <pic:spPr>
                    <a:xfrm>
                      <a:off x="0" y="0"/>
                      <a:ext cx="4680000" cy="3166548"/>
                    </a:xfrm>
                    <a:prstGeom prst="rect"/>
                    <a:ln/>
                  </pic:spPr>
                </pic:pic>
              </a:graphicData>
            </a:graphic>
          </wp:inline>
        </w:drawing>
      </w:r>
      <w:r w:rsidDel="00000000" w:rsidR="00000000" w:rsidRPr="00000000">
        <w:rPr>
          <w:rtl w:val="0"/>
        </w:rPr>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113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Os coeficientes de autocorrelação espacial para a frequência absoluta de agravos a humanos segundo os grupos de espécies quando avaliados frente ao IDH (Tabela 7, Apêndice 2).</w:t>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113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Para carnívoros houve correlações espaciais significativas com o IDH em 2010, 2013 e 2018, para herbívoros em 2008, 2010, 2012, 2013, 2016 e para todos os anos e para silvestres e sinantrópicos em 2009, 2010, 2013, 2017, 2018 e para todos os anos (Tabela 7, Apêndice 2 e Figura 16, Apêndice 1). A figura 6 representa os aglomerados de casos dos anos para herbívoros (Figura 6A) o distrito de Tiquarucu e os bairros Novo Horizonte, Papagaio e Limoeiro representam um IDH baixo com uma alta concentração de casos. O bairro Ponto Central possui um IDH elevado com uma baixa concentração de casos. Já os bairros Parque Ipê e Cidade Nova possuem um IDH elevado e com uma alta concentração de casos de agravos por estes animais a humanos. E para silvestres e sinantrópicos (Figura 6B) os distritos Maria Quitéria, Governador João Durval Carneiro e Bonfim de Feira possuem um IDH baixo e com uma baixa concentração de casos. Visto que, na região urbana nos bairros Cidade Nova, Baraúna e Serraria Brasil possuem um IDH elevado com uma alta concentração de casos por estes animais a humanos.</w:t>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60" w:before="120" w:line="240" w:lineRule="auto"/>
        <w:ind w:left="1134" w:right="0" w:hanging="1134"/>
        <w:jc w:val="both"/>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heading=h.1pxezwc" w:id="28"/>
      <w:bookmarkEnd w:id="28"/>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Figura 6.</w:t>
        <w:tab/>
        <w:t xml:space="preserve">Mapas de aglomerados (A e B) de autocorrelação espacial bivariado para o período de 2008 a 2019 para herbívoros (A ) e silvestres e sinantrópicos (B) das frequências absolutas de agravos a humanos e o índice de desenvolvimento humano (IDH). Feira de Santana, BA. 2008 a 2019.</w:t>
      </w:r>
    </w:p>
    <w:p w:rsidR="00000000" w:rsidDel="00000000" w:rsidP="00000000" w:rsidRDefault="00000000" w:rsidRPr="00000000" w14:paraId="000001DB">
      <w:pPr>
        <w:ind w:left="1134"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4680000" cy="3411256"/>
            <wp:effectExtent b="0" l="0" r="0" t="0"/>
            <wp:docPr descr="Mapa&#10;&#10;Descrição gerada automaticamente" id="170" name="image69.png"/>
            <a:graphic>
              <a:graphicData uri="http://schemas.openxmlformats.org/drawingml/2006/picture">
                <pic:pic>
                  <pic:nvPicPr>
                    <pic:cNvPr descr="Mapa&#10;&#10;Descrição gerada automaticamente" id="0" name="image69.png"/>
                    <pic:cNvPicPr preferRelativeResize="0"/>
                  </pic:nvPicPr>
                  <pic:blipFill>
                    <a:blip r:embed="rId35"/>
                    <a:srcRect b="0" l="0" r="0" t="0"/>
                    <a:stretch>
                      <a:fillRect/>
                    </a:stretch>
                  </pic:blipFill>
                  <pic:spPr>
                    <a:xfrm>
                      <a:off x="0" y="0"/>
                      <a:ext cx="4680000" cy="3411256"/>
                    </a:xfrm>
                    <a:prstGeom prst="rect"/>
                    <a:ln/>
                  </pic:spPr>
                </pic:pic>
              </a:graphicData>
            </a:graphic>
          </wp:inline>
        </w:drawing>
      </w:r>
      <w:r w:rsidDel="00000000" w:rsidR="00000000" w:rsidRPr="00000000">
        <w:rPr>
          <w:rFonts w:ascii="Times New Roman" w:cs="Times New Roman" w:eastAsia="Times New Roman" w:hAnsi="Times New Roman"/>
          <w:b w:val="1"/>
          <w:rtl w:val="0"/>
        </w:rPr>
        <w:t xml:space="preserve">A</w:t>
      </w:r>
      <w:r w:rsidDel="00000000" w:rsidR="00000000" w:rsidRPr="00000000">
        <w:rPr>
          <w:rFonts w:ascii="Times New Roman" w:cs="Times New Roman" w:eastAsia="Times New Roman" w:hAnsi="Times New Roman"/>
        </w:rPr>
        <w:drawing>
          <wp:inline distB="0" distT="0" distL="0" distR="0">
            <wp:extent cx="4680000" cy="3411256"/>
            <wp:effectExtent b="0" l="0" r="0" t="0"/>
            <wp:docPr descr="Mapa&#10;&#10;Descrição gerada automaticamente" id="172" name="image73.png"/>
            <a:graphic>
              <a:graphicData uri="http://schemas.openxmlformats.org/drawingml/2006/picture">
                <pic:pic>
                  <pic:nvPicPr>
                    <pic:cNvPr descr="Mapa&#10;&#10;Descrição gerada automaticamente" id="0" name="image73.png"/>
                    <pic:cNvPicPr preferRelativeResize="0"/>
                  </pic:nvPicPr>
                  <pic:blipFill>
                    <a:blip r:embed="rId36"/>
                    <a:srcRect b="0" l="0" r="0" t="0"/>
                    <a:stretch>
                      <a:fillRect/>
                    </a:stretch>
                  </pic:blipFill>
                  <pic:spPr>
                    <a:xfrm>
                      <a:off x="0" y="0"/>
                      <a:ext cx="4680000" cy="3411256"/>
                    </a:xfrm>
                    <a:prstGeom prst="rect"/>
                    <a:ln/>
                  </pic:spPr>
                </pic:pic>
              </a:graphicData>
            </a:graphic>
          </wp:inline>
        </w:drawing>
      </w:r>
      <w:r w:rsidDel="00000000" w:rsidR="00000000" w:rsidRPr="00000000">
        <w:rPr>
          <w:rFonts w:ascii="Times New Roman" w:cs="Times New Roman" w:eastAsia="Times New Roman" w:hAnsi="Times New Roman"/>
          <w:b w:val="1"/>
          <w:rtl w:val="0"/>
        </w:rPr>
        <w:t xml:space="preserve">B</w:t>
      </w:r>
      <w:r w:rsidDel="00000000" w:rsidR="00000000" w:rsidRPr="00000000">
        <w:rPr>
          <w:rtl w:val="0"/>
        </w:rPr>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113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IVS foi calculado a partir dos dados do Censo 2010, considerando-se as 18 dimensões propostas por Pitchon et al (2012).  De forma similar ao IDH, as áreas com maior desigualdade concentraram-se nos bairros periféricos e zona rural, enquanto menores índices de desigualdade foram registrados nas áreas centrais da malha urbana (Figura 7).</w:t>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60" w:before="120" w:line="240" w:lineRule="auto"/>
        <w:ind w:left="1134" w:right="0" w:hanging="1134"/>
        <w:jc w:val="both"/>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heading=h.49x2ik5" w:id="29"/>
      <w:bookmarkEnd w:id="29"/>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Figura 7.</w:t>
        <w:tab/>
        <w:t xml:space="preserve">Distribuição dos percentis do índice de desigualdade da saúde (IVS) para o município de Feira de Santana. 2022.</w:t>
      </w:r>
    </w:p>
    <w:p w:rsidR="00000000" w:rsidDel="00000000" w:rsidP="00000000" w:rsidRDefault="00000000" w:rsidRPr="00000000" w14:paraId="000001DE">
      <w:pPr>
        <w:ind w:left="1134" w:firstLine="0"/>
        <w:jc w:val="center"/>
        <w:rPr/>
      </w:pPr>
      <w:r w:rsidDel="00000000" w:rsidR="00000000" w:rsidRPr="00000000">
        <w:rPr>
          <w:rFonts w:ascii="Times New Roman" w:cs="Times New Roman" w:eastAsia="Times New Roman" w:hAnsi="Times New Roman"/>
          <w:sz w:val="20"/>
          <w:szCs w:val="20"/>
        </w:rPr>
        <w:drawing>
          <wp:inline distB="0" distT="0" distL="0" distR="0">
            <wp:extent cx="4680000" cy="3052815"/>
            <wp:effectExtent b="0" l="0" r="0" t="0"/>
            <wp:docPr descr="Mapa&#10;&#10;Descrição gerada automaticamente com confiança média" id="173" name="image63.png"/>
            <a:graphic>
              <a:graphicData uri="http://schemas.openxmlformats.org/drawingml/2006/picture">
                <pic:pic>
                  <pic:nvPicPr>
                    <pic:cNvPr descr="Mapa&#10;&#10;Descrição gerada automaticamente com confiança média" id="0" name="image63.png"/>
                    <pic:cNvPicPr preferRelativeResize="0"/>
                  </pic:nvPicPr>
                  <pic:blipFill>
                    <a:blip r:embed="rId37"/>
                    <a:srcRect b="0" l="0" r="19036" t="0"/>
                    <a:stretch>
                      <a:fillRect/>
                    </a:stretch>
                  </pic:blipFill>
                  <pic:spPr>
                    <a:xfrm>
                      <a:off x="0" y="0"/>
                      <a:ext cx="4680000" cy="3052815"/>
                    </a:xfrm>
                    <a:prstGeom prst="rect"/>
                    <a:ln/>
                  </pic:spPr>
                </pic:pic>
              </a:graphicData>
            </a:graphic>
          </wp:inline>
        </w:drawing>
      </w:r>
      <w:r w:rsidDel="00000000" w:rsidR="00000000" w:rsidRPr="00000000">
        <w:rPr>
          <w:rtl w:val="0"/>
        </w:rPr>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113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Os coeficientes de autocorrelação espacial para a frequência absoluta de agravos a humanos segundo os grupos de espécies quando avaliados frente ao índice de vulnerabilidade da saúde (Tabela 8, Apêndice 2).</w:t>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113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Para carnívoros houve correlações significativas com o IVS em 2010, 2013, 2017, 2018, 2019 e para todos os anos, para herbívoros em 2010, 2012, 2013 e 2016, e para silvestres e sinantrópicos em 2008, 2009, 2010, 2013, 2017, 2018, 2019 e para todos os anos (Tabela 8, Apêndice 2). A figura 8 representa os aglomerados de casos dos anos para carnívoros (Figura 8A), os distritos Maria Quitéria e Governador João Durval Carneiro representam um IVS elevado com uma baixa concentração de casos. Na região urbana nos bairros Parque Ipê, Cidade Nova, Serraria Brasil e 35°BI possuem um IVS baixo com uma alta concentração de casos. Porém o Novo Horizonte e Limoeiro apresenta um IVS elevado com uma alta concentração de casos de agravos por estes animais e para silvestres e sinantrópicos (Figura 8B), os distritos Jaguara, Maria Quitéria, Bonfim de Feira e Governador João Durval Carneiro, possuem um IVS elevado mas com uma baixa concentração de casos e a região urbana da cidade nos bairros Cidade Nova, Baraúna e Serraria Brasil  possuem um IVS baixo com uma alta concentração de casos de agravos por estes animais. </w:t>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60" w:before="120" w:line="240" w:lineRule="auto"/>
        <w:ind w:left="1134" w:right="0" w:hanging="1134"/>
        <w:jc w:val="both"/>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heading=h.2p2csry" w:id="30"/>
      <w:bookmarkEnd w:id="30"/>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Figura 8.</w:t>
        <w:tab/>
        <w:t xml:space="preserve">Mapas de aglomerados (A e B) de autocorrelação espacial bivariado para o período de 2008 a 2019 para carnívoros (A) e silvestres e sinantrópicos (B) das frequências absolutas de agravos a humanos e o índice de vulnerabilidade da saúde (IVS). Feira de Santana, BA. 2008 a 2019.</w:t>
      </w:r>
    </w:p>
    <w:p w:rsidR="00000000" w:rsidDel="00000000" w:rsidP="00000000" w:rsidRDefault="00000000" w:rsidRPr="00000000" w14:paraId="000001E2">
      <w:pPr>
        <w:ind w:left="1134" w:firstLine="0"/>
        <w:jc w:val="center"/>
        <w:rPr>
          <w:rFonts w:ascii="Times New Roman" w:cs="Times New Roman" w:eastAsia="Times New Roman" w:hAnsi="Times New Roman"/>
          <w:b w:val="1"/>
        </w:rPr>
      </w:pPr>
      <w:r w:rsidDel="00000000" w:rsidR="00000000" w:rsidRPr="00000000">
        <w:rPr/>
        <w:drawing>
          <wp:inline distB="0" distT="0" distL="0" distR="0">
            <wp:extent cx="4680000" cy="3411255"/>
            <wp:effectExtent b="0" l="0" r="0" t="0"/>
            <wp:docPr descr="Mapa&#10;&#10;Descrição gerada automaticamente" id="174" name="image70.png"/>
            <a:graphic>
              <a:graphicData uri="http://schemas.openxmlformats.org/drawingml/2006/picture">
                <pic:pic>
                  <pic:nvPicPr>
                    <pic:cNvPr descr="Mapa&#10;&#10;Descrição gerada automaticamente" id="0" name="image70.png"/>
                    <pic:cNvPicPr preferRelativeResize="0"/>
                  </pic:nvPicPr>
                  <pic:blipFill>
                    <a:blip r:embed="rId38"/>
                    <a:srcRect b="0" l="0" r="0" t="0"/>
                    <a:stretch>
                      <a:fillRect/>
                    </a:stretch>
                  </pic:blipFill>
                  <pic:spPr>
                    <a:xfrm>
                      <a:off x="0" y="0"/>
                      <a:ext cx="4680000" cy="3411255"/>
                    </a:xfrm>
                    <a:prstGeom prst="rect"/>
                    <a:ln/>
                  </pic:spPr>
                </pic:pic>
              </a:graphicData>
            </a:graphic>
          </wp:inline>
        </w:drawing>
      </w:r>
      <w:r w:rsidDel="00000000" w:rsidR="00000000" w:rsidRPr="00000000">
        <w:rPr>
          <w:rFonts w:ascii="Times New Roman" w:cs="Times New Roman" w:eastAsia="Times New Roman" w:hAnsi="Times New Roman"/>
          <w:b w:val="1"/>
          <w:rtl w:val="0"/>
        </w:rPr>
        <w:t xml:space="preserve">A</w:t>
      </w:r>
      <w:r w:rsidDel="00000000" w:rsidR="00000000" w:rsidRPr="00000000">
        <w:rPr/>
        <w:drawing>
          <wp:inline distB="0" distT="0" distL="0" distR="0">
            <wp:extent cx="4680000" cy="3411254"/>
            <wp:effectExtent b="0" l="0" r="0" t="0"/>
            <wp:docPr descr="Mapa&#10;&#10;Descrição gerada automaticamente" id="175" name="image72.png"/>
            <a:graphic>
              <a:graphicData uri="http://schemas.openxmlformats.org/drawingml/2006/picture">
                <pic:pic>
                  <pic:nvPicPr>
                    <pic:cNvPr descr="Mapa&#10;&#10;Descrição gerada automaticamente" id="0" name="image72.png"/>
                    <pic:cNvPicPr preferRelativeResize="0"/>
                  </pic:nvPicPr>
                  <pic:blipFill>
                    <a:blip r:embed="rId39"/>
                    <a:srcRect b="0" l="0" r="0" t="0"/>
                    <a:stretch>
                      <a:fillRect/>
                    </a:stretch>
                  </pic:blipFill>
                  <pic:spPr>
                    <a:xfrm>
                      <a:off x="0" y="0"/>
                      <a:ext cx="4680000" cy="3411254"/>
                    </a:xfrm>
                    <a:prstGeom prst="rect"/>
                    <a:ln/>
                  </pic:spPr>
                </pic:pic>
              </a:graphicData>
            </a:graphic>
          </wp:inline>
        </w:drawing>
      </w:r>
      <w:r w:rsidDel="00000000" w:rsidR="00000000" w:rsidRPr="00000000">
        <w:rPr>
          <w:rFonts w:ascii="Times New Roman" w:cs="Times New Roman" w:eastAsia="Times New Roman" w:hAnsi="Times New Roman"/>
          <w:b w:val="1"/>
          <w:rtl w:val="0"/>
        </w:rPr>
        <w:t xml:space="preserve">B</w:t>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113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zona urbana, situada na região central do município de Feira de Santana apresenta o IDH elevado e o IVS baixo.  Dessa forma, aquelas áreas urbanas periféricas e distritos rurais possuem um IDH baixo com desigualdade da saúde elevada, visto que as regiões rurais não possuem uma infraestrutura adequada, corroborando assim com os resultados encontrados dos aglomerados de casos de agravos segundo os grupos de espécies envolvidos frente aos indicadores socioeconômicos, onde estas agressões por animais são considerados como fatores de risco para a transmissão de doenças nestas localidades que devem ser identificadas como áreas prioritárias para o controle da raiva. </w:t>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113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Segundo Cavalcante et al (2020) em uma pequena área, condições sociais inadequadas podem favorecer a propagação do vírus rábico, contribuindo para o aumento do número de doenças relacionadas aos animais e a incidência de zoonoses.  Diversos estudos demonstram que a transmissão da raiva ocorre em regiões onde os indivíduos estão inseridos com uma maior vulnerabilidade social, podendo estar atrelado ao menor grau de instrução das populações a respeito das medidas de prevenção a serem realizadas, o que faz com que elas sejam mais propensas à exposição (CALVALCANTE, 2017; DAHER, 2005; GONÇALVES,2002).</w:t>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113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 acordo com Mascarenhas (2009), em estudo no município de Lauro de Freitas, Bahia, no período de 1999 a 2004, com dados socioeconômicos e demográficos obtidos do censo de 2000, foi observado que no distrito Areia Branca, zona rural, 39,2,% da população residente apresenta a menor renda no município, além das piores condições de saneamento e educação, isso se deve ao fato do distrito apresentar a menor densidade populacional, e por esse motivo existindo uma grande distância que percorre para o atendimento da população, com o objetivo de garantir a realização de ações efetivas no controle do vírus da raiva.  Além disso, um estudo observacional quali-quantitativo realizado por Miranda et al (2003) em Minas Gerais, no período de 1991 a 1999, utilizando os indicadores de estimativa de população canina, a ocorrência de raiva canina e felina, raiva humana notificada, coberturas vacinais e a infraestrutura do serviço nas Diretorias Regionais de Saúde (DRS), permitiram classificar que uma área de maior risco coincide com as áreas de pobreza e analfabetismo do estado.</w:t>
      </w:r>
    </w:p>
    <w:p w:rsidR="00000000" w:rsidDel="00000000" w:rsidP="00000000" w:rsidRDefault="00000000" w:rsidRPr="00000000" w14:paraId="000001E6">
      <w:pPr>
        <w:pStyle w:val="Heading2"/>
        <w:ind w:firstLine="567"/>
        <w:rPr/>
      </w:pPr>
      <w:bookmarkStart w:colFirst="0" w:colLast="0" w:name="_heading=h.147n2zr" w:id="31"/>
      <w:bookmarkEnd w:id="31"/>
      <w:r w:rsidDel="00000000" w:rsidR="00000000" w:rsidRPr="00000000">
        <w:rPr>
          <w:rtl w:val="0"/>
        </w:rPr>
        <w:t xml:space="preserve">CONCLUSÃO </w:t>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1134"/>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maior prevalência de casos notificados foram os agravos por animais carnívoros a humanos, seguidos por silvestres, herbívoros e sinantrópicos no município de Feira de Santana, Bahia.  Não houve padrão que permita distinguir uma relação temporal ou mesmo espacial para a frequência de agravos.  Foi possível verificar que as áreas periféricas (distritos rurais) apresentam IDH baixo e o IVS elevado comparado às áreas centrais urbanas, reflexo de condições de vida menos favoráveis que podem refletir como uma população mais propensa a exposição aos agravos e à circulação de patógenos, inclusive o vírus rábico.</w:t>
      </w:r>
      <w:r w:rsidDel="00000000" w:rsidR="00000000" w:rsidRPr="00000000">
        <w:rPr>
          <w:rtl w:val="0"/>
        </w:rPr>
      </w:r>
    </w:p>
    <w:p w:rsidR="00000000" w:rsidDel="00000000" w:rsidP="00000000" w:rsidRDefault="00000000" w:rsidRPr="00000000" w14:paraId="000001E8">
      <w:pPr>
        <w:pStyle w:val="Heading2"/>
        <w:ind w:firstLine="567"/>
        <w:rPr/>
      </w:pPr>
      <w:bookmarkStart w:colFirst="0" w:colLast="0" w:name="_heading=h.3o7alnk" w:id="32"/>
      <w:bookmarkEnd w:id="32"/>
      <w:r w:rsidDel="00000000" w:rsidR="00000000" w:rsidRPr="00000000">
        <w:rPr>
          <w:rtl w:val="0"/>
        </w:rPr>
        <w:t xml:space="preserve">REFERÊNCIAS </w:t>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CAVALCANTE, K.S.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Raiva humana: avaliação da prevalência das condutas profiláticas pós-exposição no Ceará, Brasil, 2007-2015.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Epidemiologia e Serviços de Saúde</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v. 27, p. e2017547, 2018.</w:t>
      </w:r>
      <w:r w:rsidDel="00000000" w:rsidR="00000000" w:rsidRPr="00000000">
        <w:rPr>
          <w:rtl w:val="0"/>
        </w:rPr>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DA SILVA, C. J. A.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Panorama epidemiológico da raiva humana na região Nordeste do Brasil de 2013 a 2017.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Anais da Faculdade de Medicina de Olinda</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v. 1, n. 6, p. 7-15, 2021.</w:t>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DEAN, A. 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et al.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Epi info™, a Data Base and Statistics Program for Public Health Professionals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CDC, Atlanta, GA, USA, 2011.</w:t>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DUARTE, N. F. H.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Epidemiologia da raiva humana no estado do Ceará, 1970 a 2019.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Epidemiologia e Serviços de Saúde</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v. 30, p. e2020354, 2021.</w:t>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DAHER E.F.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Renal involvement in human rabies: clinical manifestations and autopsy findings of nine cases from Northeast of Brazil. 2005.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Rev. Inst. Med. tropa S</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Paulo</w:t>
      </w:r>
      <w:r w:rsidDel="00000000" w:rsidR="00000000" w:rsidRPr="00000000">
        <w:rPr>
          <w:rFonts w:ascii="Arial" w:cs="Arial" w:eastAsia="Arial" w:hAnsi="Arial"/>
          <w:b w:val="1"/>
          <w:i w:val="0"/>
          <w:smallCaps w:val="0"/>
          <w:strike w:val="0"/>
          <w:color w:val="000000"/>
          <w:sz w:val="18"/>
          <w:szCs w:val="18"/>
          <w:highlight w:val="white"/>
          <w:u w:val="none"/>
          <w:vertAlign w:val="baseline"/>
          <w:rtl w:val="0"/>
        </w:rPr>
        <w:t xml:space="preserve">,</w:t>
      </w:r>
      <w:r w:rsidDel="00000000" w:rsidR="00000000" w:rsidRPr="00000000">
        <w:rPr>
          <w:rFonts w:ascii="Arial" w:cs="Arial" w:eastAsia="Arial" w:hAnsi="Arial"/>
          <w:b w:val="0"/>
          <w:i w:val="0"/>
          <w:smallCaps w:val="0"/>
          <w:strike w:val="0"/>
          <w:color w:val="000000"/>
          <w:sz w:val="18"/>
          <w:szCs w:val="18"/>
          <w:highlight w:val="white"/>
          <w:u w:val="none"/>
          <w:vertAlign w:val="baseline"/>
          <w:rtl w:val="0"/>
        </w:rPr>
        <w:t xml:space="preserve"> v.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 6, p. 315-20. Disponível em: doi.org/10.1590/S0036-46652005000600002.</w:t>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FERNANDES M.I.M.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Acidentes rábicos em município do norte do Paraná: uma análise do perfil, conduta e sistema de notificação.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2013, 100 f</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Dissertação. (Mestrado de Medicina) - Universidade Estadual Paulista Júlio de Mesquita Filho, Faculdade de Medicina de Botucatu, SP, 2013.</w:t>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GOMES, M.C.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“Sai o Morcego a Passear, São Horas de Cear”: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Agravos por Quirópteros a Humanos e a Percepção de Profissionais de Saúde, no Município de Feira de Santana, Bahia, Brasil.</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2021. 111 f. Tese (Doutorado em Ciência Animal nos Trópicos) - Universidade Federal da Bahia. Bahia, 2021</w:t>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GONÇALVES M.A.S.  Brazil TK. Outbreak of aggressions and transmission of rabies in human beings by vampire bats in northeastern Brazil.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Revista da Sociedade Brasileira de Medicina Tropical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 35, n. 5, p. 461-4. 2002. Disponível em: doi 10.1590/S0037-86822002000500006.</w:t>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GRISOLIO, A. P.R.,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O comportamento de cães e gatos: sua importância para a saúde pública.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Revista de ciência veterinária e saúde pública</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v. 4, n. 1, p. 117-126, 2017</w:t>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GRISÓLIO, A. P. R.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Atendimento antirrábico humano pós-exposição</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proposta de intervenção e estudo do comportamento de cães e gatos envolvidos nos agravos. 2014, 101 p. Dissertação (mestrado) - Universidade Estadual Paulista Júlio de Mesquita Filho, Faculdade de Ciências Agrárias e Veterinárias de Jaboticabal, 2014. Disponível em: </w:t>
      </w:r>
      <w:hyperlink r:id="rId40">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http://hdl.handle.net/11449/110622</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LOPES, J. T. S.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Analise dos acidentes por animais com potencial de transmissão para raiva no município de Caçapava do Sul, Estado do Rio Grande do Sul, Brasil.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Revista de Medicina e Saúde de Brasília,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Brasília, v. 3, n. 3, p. 210</w:t>
      </w:r>
      <w:r w:rsidDel="00000000" w:rsidR="00000000" w:rsidRPr="00000000">
        <w:rPr>
          <w:rFonts w:ascii="Cambria Math" w:cs="Cambria Math" w:eastAsia="Cambria Math" w:hAnsi="Cambria Math"/>
          <w:b w:val="0"/>
          <w:i w:val="0"/>
          <w:smallCaps w:val="0"/>
          <w:strike w:val="0"/>
          <w:color w:val="000000"/>
          <w:sz w:val="24"/>
          <w:szCs w:val="24"/>
          <w:highlight w:val="white"/>
          <w:u w:val="none"/>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223, 2014.</w:t>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MASCARENHAS, M. T. V. 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Geotecnologias na análise da população canina para o controle da raiva, considerando fatores socioeconômicos e demográficos. Município de Lauro de Freitas (BA) 1999-2004.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Revista Baiana de Saúde Pública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 33, n. 3, p. 323-323, 2009.</w:t>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MIRANDA, C. F. J.,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Raiva humana transmitida por cães: áreas de risco em Minas Gerais, Brasil, 1991-1999.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Cadernos de Saúde Pública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 19, p. 91-99, 2003.</w:t>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OLIVEIRA, V. M. R.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Mordedura canina e atendimento antirrábico humano em Minas Gerais.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Arquivo Brasileiro de Medicina Veterinária e Zootecnia</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v. 64, p. 891-898, 2012.</w:t>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PTICHON, 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Índice de Vulnerabilidade da Saúde 2012.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Secretaria Municipal de Saúde. Belo Horizonte: 2012. 24p.</w:t>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QGIS Development Team, 2007.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QGIS Geographic Information System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Open Source Geospatial Foundation Project. </w:t>
      </w:r>
      <w:hyperlink r:id="rId41">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http://qgis.osgeo.org</w:t>
        </w:r>
      </w:hyperlink>
      <w:r w:rsidDel="00000000" w:rsidR="00000000" w:rsidRPr="00000000">
        <w:rPr>
          <w:rtl w:val="0"/>
        </w:rPr>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SOBRAL FILHO, N. C.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Perfil epidemiológico dos atendimentos antirrábicos humanos no Brasil, no período de 2010 a 2017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2019. 52 f. Trabalho de Conclusão de curso. (Medicina). Universidade Federal de Campina Grande. Cajazeiras. Pernambuco. Disponível em: </w:t>
      </w:r>
      <w:hyperlink r:id="rId42">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http://dspace.sti.ufcg.edu.br:8080/jspui/handle/riufcg/11728</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88"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SOUTO-MARCHAND, A. S.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Doenças infecciosas e suas correlações com indicadores socioeconômicos e demográficos: estudo ecológico em diferentes estados brasileiros.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2017. 120 f. Tese (Doutorado em Medicina Tropical). Instituto Oswaldo Cruz, Fundação Oswaldo Cruz, Rio de Janeiro, 2017.</w:t>
      </w:r>
    </w:p>
    <w:p w:rsidR="00000000" w:rsidDel="00000000" w:rsidP="00000000" w:rsidRDefault="00000000" w:rsidRPr="00000000" w14:paraId="000001FB">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WADA, M. Y.; ROCHA, S. M.; MAIA-ELKHOURY, A. N. S. Situação da raiva no Brasil, 2000 a 2009. </w:t>
      </w:r>
      <w:r w:rsidDel="00000000" w:rsidR="00000000" w:rsidRPr="00000000">
        <w:rPr>
          <w:rFonts w:ascii="Times New Roman" w:cs="Times New Roman" w:eastAsia="Times New Roman" w:hAnsi="Times New Roman"/>
          <w:b w:val="1"/>
          <w:sz w:val="24"/>
          <w:szCs w:val="24"/>
          <w:rtl w:val="0"/>
        </w:rPr>
        <w:t xml:space="preserve">Epidemiol Serv Saúde</w:t>
      </w:r>
      <w:r w:rsidDel="00000000" w:rsidR="00000000" w:rsidRPr="00000000">
        <w:rPr>
          <w:rFonts w:ascii="Times New Roman" w:cs="Times New Roman" w:eastAsia="Times New Roman" w:hAnsi="Times New Roman"/>
          <w:sz w:val="24"/>
          <w:szCs w:val="24"/>
          <w:rtl w:val="0"/>
        </w:rPr>
        <w:t xml:space="preserve">, v. 20, n. 4, p.:509-18. 2011. Disponível em: Doi:10.5123/S1679 49742011000400010</w:t>
      </w:r>
      <w:r w:rsidDel="00000000" w:rsidR="00000000" w:rsidRPr="00000000">
        <w:br w:type="page"/>
      </w:r>
      <w:r w:rsidDel="00000000" w:rsidR="00000000" w:rsidRPr="00000000">
        <w:rPr>
          <w:rtl w:val="0"/>
        </w:rPr>
      </w:r>
    </w:p>
    <w:p w:rsidR="00000000" w:rsidDel="00000000" w:rsidP="00000000" w:rsidRDefault="00000000" w:rsidRPr="00000000" w14:paraId="000001FC">
      <w:pPr>
        <w:pStyle w:val="Heading1"/>
        <w:jc w:val="center"/>
        <w:rPr/>
      </w:pPr>
      <w:bookmarkStart w:colFirst="0" w:colLast="0" w:name="_heading=h.23ckvvd" w:id="33"/>
      <w:bookmarkEnd w:id="33"/>
      <w:r w:rsidDel="00000000" w:rsidR="00000000" w:rsidRPr="00000000">
        <w:rPr>
          <w:rtl w:val="0"/>
        </w:rPr>
        <w:t xml:space="preserve">CAPÍTULO 2: Atendimento antirrábico humano em Feira de Santana (2008-2019)</w:t>
      </w:r>
    </w:p>
    <w:p w:rsidR="00000000" w:rsidDel="00000000" w:rsidP="00000000" w:rsidRDefault="00000000" w:rsidRPr="00000000" w14:paraId="000001FD">
      <w:pPr>
        <w:pStyle w:val="Heading2"/>
        <w:ind w:firstLine="567"/>
        <w:rPr/>
      </w:pPr>
      <w:bookmarkStart w:colFirst="0" w:colLast="0" w:name="_heading=h.ihv636" w:id="34"/>
      <w:bookmarkEnd w:id="34"/>
      <w:r w:rsidDel="00000000" w:rsidR="00000000" w:rsidRPr="00000000">
        <w:rPr>
          <w:rtl w:val="0"/>
        </w:rPr>
        <w:t xml:space="preserve">RESUMO </w:t>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Ministério da Saúde (MS) recomenda que toda a pessoa com histórico de exposição a acidentes por animais com potencial de transmissão para raiva deva procurar assistência médica. A indicação inadequada do tratamento pode expor o paciente a eventos adversos. A não conclusão do tratamento não garante a imunização, podendo comprometer a sobrevida do paciente.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Neste contexto, este estudo teve como objetivo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analisar as características epidemiológicas e sociodemográficas do tratamento antirrábico humano do município de Feira de Santana no período de 2008 a 2019. Foram analisadas as variáveis relativas às características do ferimento ocasionado pelo animal e as às características sociodemográficas da população atendida, a partir dos registros do SINAN, que foram associadas com as variáveis de caracterização do perfil epidemiológico. Foram classificados o tratamento indicado como adequado ou inadequado segundo o tipo de exposição, a associação entre gravidade do agravo, bem como do abandono do tratamento. De acordo com os resultados encontrados, a maioria eram pessoas com faixa etária de 20 a 39 anos de idade (28,20%), do sexo masculino (51,05%), pardos (80,95%), de ensino fundamental incompleto (49,61%), e moradores da zona urbana (90,97%). Dos agravos notificados, 75,86% não receberam tratamento. Entre os que receberam foram 23,55% destes, 76, 65% receberam apenas vacina. Os ataques por animais carnívoros foram os mais frequentes, e as mordeduras corresponderam a 94,58% sendo o maior tipo de exposição. A localização dos ferimentos nos membros inferiores representou 51,62%, sendo o ferimento foi único com 70,34% e as lesões superficiais com 49,96%.  A condição do animal, registrado como sadio com 84,64% e a condição final do animal negativa para raiva clínica apresentando 87,03%. E aquelas exposições por acidentes leves com animais domésticos e envolvendo animais silvestres foram consideradas adequadas, porém existiram algumas inadequações que foram considerados insuficientes nas condutas profiláticas, como os acidentes graves envolvendo animais domésticos: suspeitos de raiva e raivosos, desaparecidos e mortos. Aqueles que interromperam qualquer tipo de tratamento indicado totalizaram 131 notificações, sendo que em 85 dos casos o motivo foi o abandono. Daqueles que abandonaram o tratamento, houve busca ativa pela unidade de saúde em 74 dos casos. </w:t>
        <w:tab/>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Palavra-chave: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Agravos; Conduta Profilática; Pós exposição; Vigilância Epidemiológica </w:t>
      </w:r>
    </w:p>
    <w:p w:rsidR="00000000" w:rsidDel="00000000" w:rsidP="00000000" w:rsidRDefault="00000000" w:rsidRPr="00000000" w14:paraId="00000200">
      <w:pPr>
        <w:pStyle w:val="Heading2"/>
        <w:ind w:firstLine="567"/>
        <w:rPr/>
      </w:pPr>
      <w:bookmarkStart w:colFirst="0" w:colLast="0" w:name="_heading=h.32hioqz" w:id="35"/>
      <w:bookmarkEnd w:id="35"/>
      <w:r w:rsidDel="00000000" w:rsidR="00000000" w:rsidRPr="00000000">
        <w:rPr>
          <w:rtl w:val="0"/>
        </w:rPr>
        <w:t xml:space="preserve">ABSTRAT</w:t>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Ministry of Health (MS) recommends that anyone with a history of exposure to accidents by animals with the potential to transmit rabies should seek medical assistance. Inadequate indication of treatment can expose the patient to adverse events. Failure to complete treatment does not guarantee immunization and may compromise the patient's survival. In this context, this study aimed to analyze the epidemiological and sociodemographic characteristics of human anti-rabies treatment in the municipality of Feira de Santana from 2008 to 2019. The variables related to the characteristics of the wound caused by the animal and the sociodemographic characteristics of the population were analyzed. attended, based on SINAN records, which were associated with the variables characterizing the epidemiological profile. The indicated treatment was classified as adequate or inadequate according to the type of exposure, the association between the severity of the injury, as well as treatment abandonment. According to the results found, the majority were people aged between 20 and 39 years old (28.20%), male (51.05%), brown (80.95%), with incomplete primary education (49.61%), and residents of the urban area (90.97%). Of the reported injuries, 75.86% did not receive treatment. Among those who received it, 23.55% of these, 76, 65% received only the vaccine. Attacks by carnivorous animals were the most frequent, and bites accounted for 94.58%, being the highest type of exposure. The location of the wounds in the lower limbs represented 51.62%, the wound being the only one with 70.34% and the superficial injuries with 49.96%. The condition of the animal, registered as healthy with 84.64% and the final condition of the animal negative for clinical rabies, showing 87.03%. And those exposures due to minor accidents with domestic animals and involving wild animals were considered adequate, but there were some inadequacies that were considered insufficient in prophylactic conduct, such as serious accidents involving domestic animals: suspected of rabies and rabid, missing and dead. Those who discontinued any type of treatment indicated totaled 131 notifications, and in 85 cases the reason was abandonment. Of those who abandoned treatment, there was an active search for the health unit in 74 cases.</w:t>
      </w:r>
      <w:r w:rsidDel="00000000" w:rsidR="00000000" w:rsidRPr="00000000">
        <w:rPr>
          <w:rtl w:val="0"/>
        </w:rPr>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Keyword: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Diseases; Prophylactic Conduct; Post exposure; Epidemiological surveillance</w:t>
      </w:r>
    </w:p>
    <w:p w:rsidR="00000000" w:rsidDel="00000000" w:rsidP="00000000" w:rsidRDefault="00000000" w:rsidRPr="00000000" w14:paraId="00000203">
      <w:pPr>
        <w:pStyle w:val="Heading2"/>
        <w:ind w:firstLine="567"/>
        <w:rPr/>
      </w:pPr>
      <w:bookmarkStart w:colFirst="0" w:colLast="0" w:name="_heading=h.1hmsyys" w:id="36"/>
      <w:bookmarkEnd w:id="36"/>
      <w:r w:rsidDel="00000000" w:rsidR="00000000" w:rsidRPr="00000000">
        <w:rPr>
          <w:rtl w:val="0"/>
        </w:rPr>
        <w:t xml:space="preserve">INTRODUÇÃO</w:t>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113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Sistema de Informações de Agravos de Notificação (SINAN) tem como finalidade registrar e processar os dados sobre agravos de notificação em todo o território nacional, fornecendo informações para análise do perfil da morbidade e contribuindo, dessa forma, para a tomada de decisões nas esferas municipal, estadual e federal (BRASIL, 2002).  O Ministério da Saúde (MS) recomenda que toda  pessoa com histórico de exposição a acidentes por animais com potencial de transmissão para raiva deva procurar assistência médica e conforme avaliação receber vacinação ou sorovacinação ou, ainda, acompanhamento e observação do animal, quando possível. (BRASIL, 2009). </w:t>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113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profilaxia de pré-exposição é indicada para pessoas com risco de exposição permanente ao vírus da raiva, os profissionais de saúde como: médicos veterinários, biólogos, funcionários de zoológicos, pessoas que desenvolvem trabalho de campo com animais silvestres, e outros profissionais que trabalham em áreas de risco, profissionais e auxiliares de laboratório de virologia e anatomopatologia para raiva (BRASIL, 2017b).</w:t>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113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tratamento antirrábico é de extrema importância, existem ações de uma simples lavagem do local da agressão, com água e sabão, até o tratamento completo com soro e vacina (FRIAS 2012; SOBRAL-FILHO, 2019).  A profilaxia para indivíduos potencialmente infectados pelo vírus tem que ser realizada rigorosamente sendo considerada uma urgência médica, e o tratamento deve ser realizado o mais rápido possível. A profilaxia pós exposição é muito eficaz se o tratamento for logo instituído com cuidados das feridas, acompanhada de vacinação adequada. O soro só deve ser utilizado em casos de acidentes graves em que o animal doméstico tenha desaparecido, morrido ou se tornado raivoso; em casos de animal clinicamente suspeito da raiva no momento da agressão ou acidentes graves de animais silvestres ou de produção (BRASIL,2014). A não conclusão do tratamento não garante a imunização, podendo comprometer a sobrevida do paciente. Infelizmente muitos casos são notificados sobre o abandono de tratamento (COSTA 2000). Mas a ocorrências de mortes continuam a ser notificadas, pois o tratamento, é muitas vezes é incompleto, insuficiente, ou em atraso (WARREL, 2012; MORIWAKI et al 2013).</w:t>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1134"/>
        <w:jc w:val="both"/>
        <w:rPr>
          <w:rFonts w:ascii="Times New Roman" w:cs="Times New Roman" w:eastAsia="Times New Roman" w:hAnsi="Times New Roman"/>
          <w:b w:val="0"/>
          <w:i w:val="0"/>
          <w:smallCaps w:val="0"/>
          <w:strike w:val="0"/>
          <w:color w:val="222222"/>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classificação do acidente depende das características do ferimento, como profundidade, local, extensão e número de lesões no corpo. A indicação inadequada do tratamento além de expor o paciente a eventos adversos, constitui desperdício dos recursos públicos, refletindo na qualidade da assistência à saúde (CAVALCANTE, 2017) No Brasil, a vigilância em saúde e a imunização tanto humana quanto animal são bases para o programa de controle do agravo. Contudo, os dados epidemiológicos originados não são processados, avaliados, configurados e transmitidos em tempo suficiente aos componentes dos sistemas para as tomadas de decisão adequadas (</w:t>
      </w:r>
      <w:r w:rsidDel="00000000" w:rsidR="00000000" w:rsidRPr="00000000">
        <w:rPr>
          <w:rFonts w:ascii="Times New Roman" w:cs="Times New Roman" w:eastAsia="Times New Roman" w:hAnsi="Times New Roman"/>
          <w:b w:val="0"/>
          <w:i w:val="0"/>
          <w:smallCaps w:val="0"/>
          <w:strike w:val="0"/>
          <w:color w:val="222222"/>
          <w:sz w:val="24"/>
          <w:szCs w:val="24"/>
          <w:highlight w:val="white"/>
          <w:u w:val="none"/>
          <w:vertAlign w:val="baseline"/>
          <w:rtl w:val="0"/>
        </w:rPr>
        <w:t xml:space="preserve">OLIVEIRA et al., 2012). </w:t>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113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Neste contexto, este estudo teve como objetivo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analisar as características epidemiológicas e sociodemográficas do tratamento antirrábico humano do município de Feira de Santana no período de 2008 a 2019, e a associação destas com o abandono do tratamento.</w:t>
      </w:r>
    </w:p>
    <w:p w:rsidR="00000000" w:rsidDel="00000000" w:rsidP="00000000" w:rsidRDefault="00000000" w:rsidRPr="00000000" w14:paraId="00000209">
      <w:pPr>
        <w:pStyle w:val="Heading2"/>
        <w:ind w:firstLine="567"/>
        <w:rPr/>
      </w:pPr>
      <w:bookmarkStart w:colFirst="0" w:colLast="0" w:name="_heading=h.41mghml" w:id="37"/>
      <w:bookmarkEnd w:id="37"/>
      <w:r w:rsidDel="00000000" w:rsidR="00000000" w:rsidRPr="00000000">
        <w:rPr>
          <w:rtl w:val="0"/>
        </w:rPr>
        <w:t xml:space="preserve">METODOLOGIA </w:t>
      </w:r>
    </w:p>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113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estudo caracteriza-se como observacional, descritivo, retrospectivo, baseados na consulta e análise dos registros da Ficha de Investigação padronizada no banco de dados do Sistema de Informação de Agravos de Notificação (SINAN). Dados dos atendimentos antirrábicos humanos segundo a conduta profilática foram associados as características epidemiológicas e sociodemográficas da população humana sob agravo.</w:t>
      </w:r>
    </w:p>
    <w:p w:rsidR="00000000" w:rsidDel="00000000" w:rsidP="00000000" w:rsidRDefault="00000000" w:rsidRPr="00000000" w14:paraId="0000020B">
      <w:pPr>
        <w:pStyle w:val="Heading3"/>
        <w:ind w:firstLine="1134"/>
        <w:rPr/>
      </w:pPr>
      <w:bookmarkStart w:colFirst="0" w:colLast="0" w:name="_heading=h.2grqrue" w:id="38"/>
      <w:bookmarkEnd w:id="38"/>
      <w:r w:rsidDel="00000000" w:rsidR="00000000" w:rsidRPr="00000000">
        <w:rPr>
          <w:rtl w:val="0"/>
        </w:rPr>
        <w:t xml:space="preserve">Área de Estudo</w:t>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113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município de Feira de Santana está situado na região centro-norte do Estado da Bahia, a 109 km da capital Salvador, com altitude de 257 m em relação ao nível do mar. De acordo com o Instituto Brasileiro de Geografia e Estatística – IBGE (BRASIL, 2021), a população total estimada no ano de 2021 foi de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624.107</w:t>
      </w:r>
      <w:r w:rsidDel="00000000" w:rsidR="00000000" w:rsidRPr="00000000">
        <w:rPr>
          <w:rFonts w:ascii="Arial" w:cs="Arial" w:eastAsia="Arial" w:hAnsi="Arial"/>
          <w:b w:val="0"/>
          <w:i w:val="0"/>
          <w:smallCaps w:val="0"/>
          <w:strike w:val="0"/>
          <w:color w:val="000000"/>
          <w:sz w:val="23"/>
          <w:szCs w:val="23"/>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habitantes distribuídos em área territorial de 1.304,425 Km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com densidade demográfica de 416,03 hab./Km². O município possui 44 bairros e nove distritos: Feira de Santana a sede, Bonfim de Feira e Governador João Durval Carneiro, a oeste; Humildes ao sul; Jaíba a leste; e Jaguara, Maria Quitéria, Matinha e Tiquaruçu, ao norte, como apresentado na Figura 1 (BRASIL, 2020). </w:t>
      </w:r>
    </w:p>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60" w:before="120" w:line="240" w:lineRule="auto"/>
        <w:ind w:left="1134" w:right="0" w:hanging="1134"/>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vx1227" w:id="39"/>
      <w:bookmarkEnd w:id="39"/>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Figura 9. </w:t>
        <w:tab/>
        <w:t xml:space="preserve">Município de Feira de Santana e seus distritos, Bahia, Brasil.</w:t>
      </w:r>
      <w:r w:rsidDel="00000000" w:rsidR="00000000" w:rsidRPr="00000000">
        <w:rPr>
          <w:rtl w:val="0"/>
        </w:rPr>
      </w:r>
    </w:p>
    <w:p w:rsidR="00000000" w:rsidDel="00000000" w:rsidP="00000000" w:rsidRDefault="00000000" w:rsidRPr="00000000" w14:paraId="0000020E">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454305" cy="3582773"/>
            <wp:effectExtent b="0" l="0" r="0" t="0"/>
            <wp:docPr id="131" name="image31.png"/>
            <a:graphic>
              <a:graphicData uri="http://schemas.openxmlformats.org/drawingml/2006/picture">
                <pic:pic>
                  <pic:nvPicPr>
                    <pic:cNvPr id="0" name="image31.png"/>
                    <pic:cNvPicPr preferRelativeResize="0"/>
                  </pic:nvPicPr>
                  <pic:blipFill>
                    <a:blip r:embed="rId26"/>
                    <a:srcRect b="0" l="0" r="0" t="0"/>
                    <a:stretch>
                      <a:fillRect/>
                    </a:stretch>
                  </pic:blipFill>
                  <pic:spPr>
                    <a:xfrm>
                      <a:off x="0" y="0"/>
                      <a:ext cx="4454305" cy="3582773"/>
                    </a:xfrm>
                    <a:prstGeom prst="rect"/>
                    <a:ln/>
                  </pic:spPr>
                </pic:pic>
              </a:graphicData>
            </a:graphic>
          </wp:inline>
        </w:drawing>
      </w:r>
      <w:r w:rsidDel="00000000" w:rsidR="00000000" w:rsidRPr="00000000">
        <w:rPr>
          <w:rtl w:val="0"/>
        </w:rPr>
      </w:r>
    </w:p>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Fonte: Adaptado de SEVÁ (2010).</w:t>
      </w:r>
    </w:p>
    <w:p w:rsidR="00000000" w:rsidDel="00000000" w:rsidP="00000000" w:rsidRDefault="00000000" w:rsidRPr="00000000" w14:paraId="00000210">
      <w:pPr>
        <w:pStyle w:val="Heading3"/>
        <w:ind w:firstLine="1134"/>
        <w:rPr>
          <w:b w:val="0"/>
        </w:rPr>
      </w:pPr>
      <w:bookmarkStart w:colFirst="0" w:colLast="0" w:name="_heading=h.3fwokq0" w:id="40"/>
      <w:bookmarkEnd w:id="40"/>
      <w:r w:rsidDel="00000000" w:rsidR="00000000" w:rsidRPr="00000000">
        <w:rPr>
          <w:rtl w:val="0"/>
        </w:rPr>
        <w:t xml:space="preserve">Banco de dados e variáveis</w:t>
      </w:r>
      <w:r w:rsidDel="00000000" w:rsidR="00000000" w:rsidRPr="00000000">
        <w:rPr>
          <w:rtl w:val="0"/>
        </w:rPr>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113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Os dados do SINAN foram recuperados para o período de 2008 a 2019.  A partir das fichas do SINAN foram consideradas para atendimento de profilaxia pós exposição, as notificações de indivíduos possivelmente expostos ao vírus da doença em decorrência de mordedura, lambedura de mucosa ou arranhadura, provocadas pelas diferentes espécies animais. Foram analisadas as variáveis relativas às características do ferimento ocasionado pelo animal, condição do animal e tratamento indicado e continuidade do tratamento. As variáveis que foram utilizadas para a caracterização do agravo foram agressão (forma de exposição ao vírus, local do ferimento, extensão do ferimento e tipo do ferimento), animal agressor (condição do animal para fins de conduta do tratamento e condição final do animal), ao tratamento (tipo de profilaxia indicada, se houve interrupção da profilaxia, motivo da interrupção e busca ativa do paciente com abandono) e também foram analisadas as variáveis relativas às características sociodemográficas da população atendida, a partir dos registros do SINAN, que foram associadas com as variáveis de caracterização do perfil epidemiológico: bairro, sexo, faixa etária, escolaridade, ocupação e renda.</w:t>
      </w:r>
    </w:p>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113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 variáveis que apresentaram registros em branco, ignorados e notificações de 2020 e 2021, foram excluídas do banco de dados.  As variáveis foram alteradas substituindo as categorias numeradas por códigos em nomes utilizando o dicionário do Ministério da Saúde (BRASIL, 2018) para identificação de cada variável.</w:t>
      </w:r>
    </w:p>
    <w:p w:rsidR="00000000" w:rsidDel="00000000" w:rsidP="00000000" w:rsidRDefault="00000000" w:rsidRPr="00000000" w14:paraId="00000213">
      <w:pPr>
        <w:pStyle w:val="Heading3"/>
        <w:ind w:firstLine="1134"/>
        <w:rPr/>
      </w:pPr>
      <w:bookmarkStart w:colFirst="0" w:colLast="0" w:name="_heading=h.1v1yuxt" w:id="41"/>
      <w:bookmarkEnd w:id="41"/>
      <w:r w:rsidDel="00000000" w:rsidR="00000000" w:rsidRPr="00000000">
        <w:rPr>
          <w:rtl w:val="0"/>
        </w:rPr>
        <w:t xml:space="preserve">Análise de dados</w:t>
      </w:r>
    </w:p>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113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 relação ao perfil dos agravos e o tratamento anti-rábico, as variáveis estudadas foram o perfil dos indivíduos atendidos (sexo, faixa etária, condição gestante, escolaridade e zona), os antecedentes epidemiológicos (tipo de exposição, localização do ferimento, tipo de ferimento, ferimento múltiplo ou único, espécie do animal agressor, condição do animal, ) e a profilaxia atual como a condição do final do animal, tipo de tratamento, interrupção do tratamento, motivo da interrupção, se houve abandono de tratamento e se a unidade de saúde procurou a pessoa, e se houve a indicação do soro. Para análise da profilaxia dos atendimentos antirrábicos humanos, foram classificados os tipos de tratamentos indicados como: não tratados (dispensa de tratamento e observação do animal), pré exposição, pós exposição (observação + vacina, vacina, soro e vacina) e esquema de reexposição tabulado com as variáveis do perfil epidemiológico e sociodemográfico.</w:t>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113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Para representar o tratamento indicado como adequada ou inadequada, os atendimentos antirrábicos humanos de profilaxia pós exposição foram classificados segundo o tipo de exposição, de acordo com as normas do Ministério da Saúde: contato indireto, acidentes leves, acidentes graves e acidentes envolvendo animais silvestres.  Foram classificados como contato indireto aqueles que houve a manipulação de utensílios potencialmente contaminados e lambedura da pele íntegra e acidentes com agulhas durante aplicação de vacina animal. Os acidentes leves são os ferimentos superficiais, pouco extensos, geralmente únicos, em tronco e membros e podem acontecer em decorrência de mordeduras ou arranhaduras causadas por unha ou dente e lambedura de pele com lesões superficiais. Acidentes graves são os ferimentos na cabeça, face, pescoço, mãos e pés, ferimentos profundos, múltiplos ou extensos, em qualquer região do corpo, lambedura de mucosas e ferimento profundo causado por unha de animal (BRASIL, 2019).  Os agravos classificados como inadequados foram ainda reclassificados como ‘insuficiente’ e ‘excessiva’, representando que não estava de acordo com as normas estabelecidas, por insuficiência ou excesso (BRASIL, 2017b; ESTIMA, 2022).</w:t>
      </w:r>
    </w:p>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113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associação entre gravidade do agravo, bem como do abandono do tratamento e as variáveis epidemiológicas foi analisada pelo teste de χ2 de Pearson com correção de continuidade em tabelas de contingência. As variáveis com valores de P menores que 0,2 foram reavaliadas pela regressão logística com o método backward stepwise, computando a significância estatística da exclusão de cada variável pelos testes de razão de verossimilhança ajustado pelo teste de Hosmer-Lemeshow.  Em todas as análises foram utilizados os programas Excel 2016® (MICROSOFT, 2016) e EpiInfo 7 (DEAN et al., 2011) Considerou-se o nível de significância de 5%.</w:t>
      </w:r>
    </w:p>
    <w:p w:rsidR="00000000" w:rsidDel="00000000" w:rsidP="00000000" w:rsidRDefault="00000000" w:rsidRPr="00000000" w14:paraId="00000217">
      <w:pPr>
        <w:pStyle w:val="Heading3"/>
        <w:ind w:firstLine="1134"/>
        <w:rPr/>
      </w:pPr>
      <w:bookmarkStart w:colFirst="0" w:colLast="0" w:name="_heading=h.4f1mdlm" w:id="42"/>
      <w:bookmarkEnd w:id="42"/>
      <w:r w:rsidDel="00000000" w:rsidR="00000000" w:rsidRPr="00000000">
        <w:rPr>
          <w:rtl w:val="0"/>
        </w:rPr>
        <w:t xml:space="preserve">Aspectos éticos</w:t>
      </w:r>
    </w:p>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113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Os dados do SINAN foram recuperados sem os nomes dos indivíduos submetidos ao atendimento antirrábico, procurando cumprir o disposto na Resolução CNS 466/12², que detalha e amplia requerimentos para a proteção dos participantes das pesquisas para que assegurem a confidencialidade e a privacidade.  O acesso ao banco de dados foi obtido mediante ofício de solicitação para a Secretaria de Saúde de Feira de Santana (Anexo 2) e autorização pelo Comitê de Ética em Pesquisa (CAAE no 51127321.2.0000.0053; Parecer n</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superscript"/>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5.252.767) da Universidade Estadual de Feira de Santana (Anexo 3).</w:t>
      </w:r>
    </w:p>
    <w:p w:rsidR="00000000" w:rsidDel="00000000" w:rsidP="00000000" w:rsidRDefault="00000000" w:rsidRPr="00000000" w14:paraId="00000219">
      <w:pPr>
        <w:pStyle w:val="Heading2"/>
        <w:ind w:firstLine="567"/>
        <w:rPr/>
      </w:pPr>
      <w:bookmarkStart w:colFirst="0" w:colLast="0" w:name="_heading=h.2u6wntf" w:id="43"/>
      <w:bookmarkEnd w:id="43"/>
      <w:r w:rsidDel="00000000" w:rsidR="00000000" w:rsidRPr="00000000">
        <w:rPr>
          <w:rtl w:val="0"/>
        </w:rPr>
        <w:t xml:space="preserve">RESULTADOS E DISCUSSÃO </w:t>
      </w:r>
    </w:p>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113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 período de 2008 a 2021 o SINAN reportou 27.071 notificações de agravos a humanos por animais em Feira de Santana.  Nos anos de 2020 e 2021, o número de notificações foi substancialmente menor do que as dos anos anteriores, e assim estes anos foram subtraídos do banco em análise, devido ao possível efeito de subnotificação no período devido à pandemia COVID2019. Desta forma, a análise concentrou-se nos casos notificados entre 2008 e 2019, num total de 25591 notificações.</w:t>
      </w:r>
    </w:p>
    <w:p w:rsidR="00000000" w:rsidDel="00000000" w:rsidP="00000000" w:rsidRDefault="00000000" w:rsidRPr="00000000" w14:paraId="0000021B">
      <w:pPr>
        <w:pStyle w:val="Heading3"/>
        <w:ind w:firstLine="1134"/>
        <w:rPr/>
      </w:pPr>
      <w:bookmarkStart w:colFirst="0" w:colLast="0" w:name="_heading=h.19c6y18" w:id="44"/>
      <w:bookmarkEnd w:id="44"/>
      <w:r w:rsidDel="00000000" w:rsidR="00000000" w:rsidRPr="00000000">
        <w:rPr>
          <w:rtl w:val="0"/>
        </w:rPr>
        <w:t xml:space="preserve">Atendimento antirrábico humano em Feira de Santana (2008-2019)</w:t>
      </w:r>
    </w:p>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113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 período de 2008 a 2019 foram notificados 25.448 atendimentos a agravos por animais.  A maioria eram pessoas com faixa etária de 20 a 39 anos de idade (n=6687; 28,20%; IC95%: 27,63 - 28,78), sexo masculino (n=13061; 51,05%; IC95%: 50,44 – 51,66), pardos (n=20682; 80,95%; IC95%: 80,46 – 81,42), com ensino fundamental incompleto (n=9624; 49,61%; IC95%: 48,90-50,31) e moradores da zona urbana (n=22977; 90,97%; IC95%: 90,61 – 91,32), como apresentado na Tabela 2.</w:t>
      </w:r>
    </w:p>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113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Dos agravos notificados, 19.304 (75,86%; IC95%: 75,32 – 76,37) não receberam tratamento. Entre os que receberam tratamento foram 5989 (23,55%; IC 95%; 23,04-24,08), destes, 4587 (76, 65%; IC95%: 75,55 – 75,73) receberam apenas vacina, 1404 (22,85%; IC95%: 21, 81 – 23,91) vacina e soro, e 12 (0,19%; IC95%: 0,11 – 0,34) esquema de reexposição.  O esquema de pré-exposição foi notificado em 141 (22,94 %; IC95%: 19,49 – 27,00) dos casos.  Dentre os tipos de espécies agressoras por tipo de tratamento indicado, os ataques por animais carnívoros foram os mais frequentes (Tabela 3).</w:t>
      </w:r>
    </w:p>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113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Segundo antecedentes epidemiológicos, a mordedura apresentou n=24.170 (94,58%; IC95%: 94,29-94,85) sendo o maior tipo de exposição seguido por arranhadura (n=1660; 4,53%; IC95%: 4,29-4,80).  A localização dos ferimentos nos membros inferiores representou 13105 (51,62%; IC95%: 14,70-15,58) e lesões nas mãos e pés 7143 (28,13%; IC95%: 27,58-28,69). Ferimento foi único em 17650 (70,34%; IC95%: 69,77-70,90) casos e as lesões superficiais com 12414 (49,96%; IC95%: 49,34-50,38).  Se tratando sobre a condição do animal, registrado como sadio (n=21350; IC95%: 84,64%; IC95%: 84,14 -85,08) e a condição final do animal negativa para raiva clínica (n=25.503; 87,03%; IC95%: 86,60-87,44), como apresentado na Tabela 12 Apêndice 2</w:t>
      </w:r>
    </w:p>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113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Considerando indivíduos encaminhados para tratamento antirrábico segundo a conduta profilática indicada podemos observar que, das 24.323 fichas de notificação, 70 (0,28%; IC95%: 0,22 – 0,36) foram classificadas como contato indireto, 6.520 (26,80%; IC95%: 26,25- 27,36) como acidentes leves com animais domésticos, 17.294 (71,10%; IC95%: 70,52 – 71,66) acidentes graves com animais domésticos e 439 (1,80%; IC95%: 1,64 – 1,98) acidentes envolvendo animais silvestres (Figura 10).</w:t>
      </w:r>
    </w:p>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113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 que diz respeito ao tratamento indicado entre as exposições por contato indireto tiverem conduta profilática considerada como inadequada, dentre eles a observação do animal, observação e vacina, vacina e soro + vacina corresponderam a 60 (85,71%; IC95%: 75,61-92,00) e 10 (14,29%; IC95%: 7,99-24,38) notificações.  Entre os acidentes leves com animais domésticos sem suspeita de raiva, de acordo com a conduta indicada foram considerados adequados a observação do animal e observação e vacina, foram no total 5578 (98,36%; IC95%: 97,99 -98,65). Para os acidentes leves com animais domésticos suspeitos de raiva foram 45 (54,21%; IC 95%: 43,52 – 64,53) das condutas profiláticas foram adequadas (observação + vacina e vacina) e os acidentes leves com animais domésticos raivosos, desaparecidos e mortos sendo classificado como adequados (n= 643; 83,94%; IC95%: 81,17 - 86,36) conforme a tabela 4.</w:t>
      </w:r>
    </w:p>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113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Sobre os acidentes graves envolvendo animais domésticos sem suspeita de raiva, 13156 (86,42%; IC95%: 98,11 – 98,52) foram considerados adequados (observação do animal e soro e vacina), entre os acidentes graves com animais domésticos suspeitos de raiva em 222 (71,84%; IC95%: 66,57-76,56) das condutas profiláticas houve indicações inadequadas ou insuficientes (dispensa de tratamento , observação do animal, observação + vacina e vacina) e os acidentes graves com animais domésticos raivosos, desaparecidos e mortos apontados como inadequados ou insuficientes (n= 1254; 71,12%;IC95%: 68,96- 73,19). Segundo a tabela 4, nos acidentes envolvendo animais silvestres (n= 316; 71,98%; IC 95%: 67,59 – 75,97) a conduta profilática foi classificada como adequado (soro e vacina).</w:t>
      </w:r>
    </w:p>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1134"/>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headerReference r:id="rId43" w:type="first"/>
          <w:type w:val="nextPage"/>
          <w:pgSz w:h="16838" w:w="11906" w:orient="portrait"/>
          <w:pgMar w:bottom="1417" w:top="1417" w:left="1701" w:right="1701" w:header="397" w:footer="680"/>
          <w:titlePg w:val="1"/>
        </w:sectPr>
      </w:pPr>
      <w:r w:rsidDel="00000000" w:rsidR="00000000" w:rsidRPr="00000000">
        <w:rPr>
          <w:rtl w:val="0"/>
        </w:rPr>
      </w:r>
    </w:p>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60" w:before="120" w:line="240" w:lineRule="auto"/>
        <w:ind w:left="1134" w:right="0" w:hanging="1134"/>
        <w:jc w:val="both"/>
        <w:rPr>
          <w:rFonts w:ascii="Times New Roman" w:cs="Times New Roman" w:eastAsia="Times New Roman" w:hAnsi="Times New Roman"/>
          <w:b w:val="0"/>
          <w:i w:val="0"/>
          <w:smallCaps w:val="0"/>
          <w:strike w:val="0"/>
          <w:color w:val="000000"/>
          <w:sz w:val="22"/>
          <w:szCs w:val="22"/>
          <w:u w:val="none"/>
          <w:shd w:fill="auto" w:val="clear"/>
          <w:vertAlign w:val="baseline"/>
        </w:rPr>
      </w:pPr>
      <w:bookmarkStart w:colFirst="0" w:colLast="0" w:name="_heading=h.3tbugp1" w:id="45"/>
      <w:bookmarkEnd w:id="45"/>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Tabela 2.</w:t>
        <w:tab/>
        <w:t xml:space="preserve">Frequências absolutas (Fi) e relativa (fi), para as variáveis do perfil sociodemográfico de indivíduos encaminhados para tratamento antirrábico, no total e segundo a conduta de tratamento utilizada. Feira de Santana, BA. 2008-2019.</w:t>
      </w:r>
    </w:p>
    <w:tbl>
      <w:tblPr>
        <w:tblStyle w:val="Table4"/>
        <w:tblW w:w="14570.0" w:type="dxa"/>
        <w:jc w:val="left"/>
        <w:tblLayout w:type="fixed"/>
        <w:tblLook w:val="0400"/>
      </w:tblPr>
      <w:tblGrid>
        <w:gridCol w:w="2995"/>
        <w:gridCol w:w="964"/>
        <w:gridCol w:w="964"/>
        <w:gridCol w:w="964"/>
        <w:gridCol w:w="964"/>
        <w:gridCol w:w="964"/>
        <w:gridCol w:w="965"/>
        <w:gridCol w:w="965"/>
        <w:gridCol w:w="965"/>
        <w:gridCol w:w="965"/>
        <w:gridCol w:w="965"/>
        <w:gridCol w:w="965"/>
        <w:gridCol w:w="965"/>
        <w:tblGridChange w:id="0">
          <w:tblGrid>
            <w:gridCol w:w="2995"/>
            <w:gridCol w:w="964"/>
            <w:gridCol w:w="964"/>
            <w:gridCol w:w="964"/>
            <w:gridCol w:w="964"/>
            <w:gridCol w:w="964"/>
            <w:gridCol w:w="965"/>
            <w:gridCol w:w="965"/>
            <w:gridCol w:w="965"/>
            <w:gridCol w:w="965"/>
            <w:gridCol w:w="965"/>
            <w:gridCol w:w="965"/>
            <w:gridCol w:w="965"/>
          </w:tblGrid>
        </w:tblGridChange>
      </w:tblGrid>
      <w:tr>
        <w:trPr>
          <w:cantSplit w:val="0"/>
          <w:tblHeader w:val="0"/>
        </w:trPr>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224">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Variáveis</w:t>
            </w:r>
          </w:p>
        </w:tc>
        <w:tc>
          <w:tcPr>
            <w:gridSpan w:val="2"/>
            <w:tcBorders>
              <w:top w:color="000000" w:space="0" w:sz="4" w:val="single"/>
              <w:left w:color="000000" w:space="0" w:sz="0" w:val="nil"/>
              <w:bottom w:color="000000" w:space="0" w:sz="8" w:val="single"/>
              <w:right w:color="000000" w:space="0" w:sz="0" w:val="nil"/>
            </w:tcBorders>
            <w:shd w:fill="ffffff" w:val="clear"/>
            <w:vAlign w:val="center"/>
          </w:tcPr>
          <w:p w:rsidR="00000000" w:rsidDel="00000000" w:rsidP="00000000" w:rsidRDefault="00000000" w:rsidRPr="00000000" w14:paraId="00000225">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Total</w:t>
            </w:r>
          </w:p>
        </w:tc>
        <w:tc>
          <w:tcPr>
            <w:gridSpan w:val="2"/>
            <w:tcBorders>
              <w:top w:color="000000" w:space="0" w:sz="4" w:val="single"/>
              <w:left w:color="000000" w:space="0" w:sz="0" w:val="nil"/>
              <w:bottom w:color="000000" w:space="0" w:sz="8" w:val="single"/>
              <w:right w:color="000000" w:space="0" w:sz="0" w:val="nil"/>
            </w:tcBorders>
            <w:shd w:fill="ffffff" w:val="clear"/>
            <w:vAlign w:val="center"/>
          </w:tcPr>
          <w:p w:rsidR="00000000" w:rsidDel="00000000" w:rsidP="00000000" w:rsidRDefault="00000000" w:rsidRPr="00000000" w14:paraId="00000227">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Não tratado</w:t>
            </w:r>
          </w:p>
        </w:tc>
        <w:tc>
          <w:tcPr>
            <w:gridSpan w:val="2"/>
            <w:tcBorders>
              <w:top w:color="000000" w:space="0" w:sz="4" w:val="single"/>
              <w:left w:color="000000" w:space="0" w:sz="0" w:val="nil"/>
              <w:bottom w:color="000000" w:space="0" w:sz="8" w:val="single"/>
              <w:right w:color="000000" w:space="0" w:sz="0" w:val="nil"/>
            </w:tcBorders>
            <w:shd w:fill="ffffff" w:val="clear"/>
            <w:vAlign w:val="center"/>
          </w:tcPr>
          <w:p w:rsidR="00000000" w:rsidDel="00000000" w:rsidP="00000000" w:rsidRDefault="00000000" w:rsidRPr="00000000" w14:paraId="00000229">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Vacina</w:t>
            </w:r>
          </w:p>
        </w:tc>
        <w:tc>
          <w:tcPr>
            <w:gridSpan w:val="2"/>
            <w:tcBorders>
              <w:top w:color="000000" w:space="0" w:sz="4" w:val="single"/>
              <w:left w:color="000000" w:space="0" w:sz="0" w:val="nil"/>
              <w:bottom w:color="000000" w:space="0" w:sz="8" w:val="single"/>
              <w:right w:color="000000" w:space="0" w:sz="0" w:val="nil"/>
            </w:tcBorders>
            <w:shd w:fill="ffffff" w:val="clear"/>
            <w:vAlign w:val="center"/>
          </w:tcPr>
          <w:p w:rsidR="00000000" w:rsidDel="00000000" w:rsidP="00000000" w:rsidRDefault="00000000" w:rsidRPr="00000000" w14:paraId="0000022B">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Soro e Vacina</w:t>
            </w:r>
          </w:p>
        </w:tc>
        <w:tc>
          <w:tcPr>
            <w:gridSpan w:val="2"/>
            <w:tcBorders>
              <w:top w:color="000000" w:space="0" w:sz="4" w:val="single"/>
              <w:left w:color="000000" w:space="0" w:sz="0" w:val="nil"/>
              <w:bottom w:color="000000" w:space="0" w:sz="8" w:val="single"/>
              <w:right w:color="000000" w:space="0" w:sz="0" w:val="nil"/>
            </w:tcBorders>
            <w:shd w:fill="ffffff" w:val="clear"/>
            <w:vAlign w:val="center"/>
          </w:tcPr>
          <w:p w:rsidR="00000000" w:rsidDel="00000000" w:rsidP="00000000" w:rsidRDefault="00000000" w:rsidRPr="00000000" w14:paraId="0000022D">
            <w:pPr>
              <w:spacing w:after="0" w:line="240" w:lineRule="auto"/>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Esquema de reexposição</w:t>
            </w:r>
          </w:p>
        </w:tc>
        <w:tc>
          <w:tcPr>
            <w:gridSpan w:val="2"/>
            <w:tcBorders>
              <w:top w:color="000000" w:space="0" w:sz="4" w:val="single"/>
              <w:left w:color="000000" w:space="0" w:sz="0" w:val="nil"/>
              <w:bottom w:color="000000" w:space="0" w:sz="8" w:val="single"/>
              <w:right w:color="000000" w:space="0" w:sz="0" w:val="nil"/>
            </w:tcBorders>
            <w:shd w:fill="ffffff" w:val="clear"/>
            <w:vAlign w:val="center"/>
          </w:tcPr>
          <w:p w:rsidR="00000000" w:rsidDel="00000000" w:rsidP="00000000" w:rsidRDefault="00000000" w:rsidRPr="00000000" w14:paraId="0000022F">
            <w:pPr>
              <w:spacing w:after="0" w:line="240" w:lineRule="auto"/>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Pré exposição</w:t>
            </w:r>
          </w:p>
        </w:tc>
      </w:tr>
      <w:tr>
        <w:trPr>
          <w:cantSplit w:val="0"/>
          <w:tblHeader w:val="0"/>
        </w:trPr>
        <w:tc>
          <w:tcPr>
            <w:tcBorders>
              <w:top w:color="000000" w:space="0" w:sz="0" w:val="nil"/>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231">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Sexo</w:t>
            </w:r>
          </w:p>
        </w:tc>
        <w:tc>
          <w:tcPr>
            <w:tcBorders>
              <w:top w:color="000000" w:space="0" w:sz="0" w:val="nil"/>
              <w:left w:color="000000" w:space="0" w:sz="0" w:val="nil"/>
              <w:bottom w:color="000000" w:space="0" w:sz="8" w:val="single"/>
              <w:right w:color="000000" w:space="0" w:sz="0" w:val="nil"/>
            </w:tcBorders>
            <w:shd w:fill="ffffff" w:val="clear"/>
          </w:tcPr>
          <w:p w:rsidR="00000000" w:rsidDel="00000000" w:rsidP="00000000" w:rsidRDefault="00000000" w:rsidRPr="00000000" w14:paraId="00000232">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Fi</w:t>
            </w:r>
          </w:p>
        </w:tc>
        <w:tc>
          <w:tcPr>
            <w:tcBorders>
              <w:top w:color="000000" w:space="0" w:sz="0" w:val="nil"/>
              <w:left w:color="000000" w:space="0" w:sz="0" w:val="nil"/>
              <w:bottom w:color="000000" w:space="0" w:sz="8" w:val="single"/>
              <w:right w:color="000000" w:space="0" w:sz="0" w:val="nil"/>
            </w:tcBorders>
            <w:shd w:fill="ffffff" w:val="clear"/>
          </w:tcPr>
          <w:p w:rsidR="00000000" w:rsidDel="00000000" w:rsidP="00000000" w:rsidRDefault="00000000" w:rsidRPr="00000000" w14:paraId="00000233">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fi</w:t>
            </w:r>
          </w:p>
        </w:tc>
        <w:tc>
          <w:tcPr>
            <w:tcBorders>
              <w:top w:color="000000" w:space="0" w:sz="0" w:val="nil"/>
              <w:left w:color="000000" w:space="0" w:sz="0" w:val="nil"/>
              <w:bottom w:color="000000" w:space="0" w:sz="8" w:val="single"/>
              <w:right w:color="000000" w:space="0" w:sz="0" w:val="nil"/>
            </w:tcBorders>
            <w:shd w:fill="ffffff" w:val="clear"/>
            <w:vAlign w:val="center"/>
          </w:tcPr>
          <w:p w:rsidR="00000000" w:rsidDel="00000000" w:rsidP="00000000" w:rsidRDefault="00000000" w:rsidRPr="00000000" w14:paraId="00000234">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Fi</w:t>
            </w:r>
          </w:p>
        </w:tc>
        <w:tc>
          <w:tcPr>
            <w:tcBorders>
              <w:top w:color="000000" w:space="0" w:sz="0" w:val="nil"/>
              <w:left w:color="000000" w:space="0" w:sz="0" w:val="nil"/>
              <w:bottom w:color="000000" w:space="0" w:sz="8" w:val="single"/>
              <w:right w:color="000000" w:space="0" w:sz="0" w:val="nil"/>
            </w:tcBorders>
            <w:shd w:fill="ffffff" w:val="clear"/>
            <w:vAlign w:val="center"/>
          </w:tcPr>
          <w:p w:rsidR="00000000" w:rsidDel="00000000" w:rsidP="00000000" w:rsidRDefault="00000000" w:rsidRPr="00000000" w14:paraId="00000235">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fi</w:t>
            </w:r>
          </w:p>
        </w:tc>
        <w:tc>
          <w:tcPr>
            <w:tcBorders>
              <w:top w:color="000000" w:space="0" w:sz="0" w:val="nil"/>
              <w:left w:color="000000" w:space="0" w:sz="0" w:val="nil"/>
              <w:bottom w:color="000000" w:space="0" w:sz="8" w:val="single"/>
              <w:right w:color="000000" w:space="0" w:sz="0" w:val="nil"/>
            </w:tcBorders>
            <w:shd w:fill="ffffff" w:val="clear"/>
            <w:vAlign w:val="center"/>
          </w:tcPr>
          <w:p w:rsidR="00000000" w:rsidDel="00000000" w:rsidP="00000000" w:rsidRDefault="00000000" w:rsidRPr="00000000" w14:paraId="00000236">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Fi</w:t>
            </w:r>
          </w:p>
        </w:tc>
        <w:tc>
          <w:tcPr>
            <w:tcBorders>
              <w:top w:color="000000" w:space="0" w:sz="0" w:val="nil"/>
              <w:left w:color="000000" w:space="0" w:sz="0" w:val="nil"/>
              <w:bottom w:color="000000" w:space="0" w:sz="8" w:val="single"/>
              <w:right w:color="000000" w:space="0" w:sz="0" w:val="nil"/>
            </w:tcBorders>
            <w:shd w:fill="ffffff" w:val="clear"/>
            <w:vAlign w:val="center"/>
          </w:tcPr>
          <w:p w:rsidR="00000000" w:rsidDel="00000000" w:rsidP="00000000" w:rsidRDefault="00000000" w:rsidRPr="00000000" w14:paraId="00000237">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fi</w:t>
            </w:r>
          </w:p>
        </w:tc>
        <w:tc>
          <w:tcPr>
            <w:tcBorders>
              <w:top w:color="000000" w:space="0" w:sz="0" w:val="nil"/>
              <w:left w:color="000000" w:space="0" w:sz="0" w:val="nil"/>
              <w:bottom w:color="000000" w:space="0" w:sz="8" w:val="single"/>
              <w:right w:color="000000" w:space="0" w:sz="0" w:val="nil"/>
            </w:tcBorders>
            <w:shd w:fill="ffffff" w:val="clear"/>
            <w:vAlign w:val="center"/>
          </w:tcPr>
          <w:p w:rsidR="00000000" w:rsidDel="00000000" w:rsidP="00000000" w:rsidRDefault="00000000" w:rsidRPr="00000000" w14:paraId="00000238">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Fi</w:t>
            </w:r>
          </w:p>
        </w:tc>
        <w:tc>
          <w:tcPr>
            <w:tcBorders>
              <w:top w:color="000000" w:space="0" w:sz="0" w:val="nil"/>
              <w:left w:color="000000" w:space="0" w:sz="0" w:val="nil"/>
              <w:bottom w:color="000000" w:space="0" w:sz="8" w:val="single"/>
              <w:right w:color="000000" w:space="0" w:sz="0" w:val="nil"/>
            </w:tcBorders>
            <w:shd w:fill="ffffff" w:val="clear"/>
            <w:vAlign w:val="center"/>
          </w:tcPr>
          <w:p w:rsidR="00000000" w:rsidDel="00000000" w:rsidP="00000000" w:rsidRDefault="00000000" w:rsidRPr="00000000" w14:paraId="00000239">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Fi</w:t>
            </w:r>
          </w:p>
        </w:tc>
        <w:tc>
          <w:tcPr>
            <w:tcBorders>
              <w:top w:color="000000" w:space="0" w:sz="0" w:val="nil"/>
              <w:left w:color="000000" w:space="0" w:sz="0" w:val="nil"/>
              <w:bottom w:color="000000" w:space="0" w:sz="8" w:val="single"/>
              <w:right w:color="000000" w:space="0" w:sz="0" w:val="nil"/>
            </w:tcBorders>
            <w:shd w:fill="ffffff" w:val="clear"/>
            <w:vAlign w:val="center"/>
          </w:tcPr>
          <w:p w:rsidR="00000000" w:rsidDel="00000000" w:rsidP="00000000" w:rsidRDefault="00000000" w:rsidRPr="00000000" w14:paraId="0000023A">
            <w:pPr>
              <w:spacing w:after="0" w:line="240" w:lineRule="auto"/>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Fi</w:t>
            </w:r>
          </w:p>
        </w:tc>
        <w:tc>
          <w:tcPr>
            <w:tcBorders>
              <w:top w:color="000000" w:space="0" w:sz="0" w:val="nil"/>
              <w:left w:color="000000" w:space="0" w:sz="0" w:val="nil"/>
              <w:bottom w:color="000000" w:space="0" w:sz="8" w:val="single"/>
              <w:right w:color="000000" w:space="0" w:sz="0" w:val="nil"/>
            </w:tcBorders>
            <w:shd w:fill="ffffff" w:val="clear"/>
            <w:vAlign w:val="center"/>
          </w:tcPr>
          <w:p w:rsidR="00000000" w:rsidDel="00000000" w:rsidP="00000000" w:rsidRDefault="00000000" w:rsidRPr="00000000" w14:paraId="0000023B">
            <w:pPr>
              <w:spacing w:after="0" w:line="240" w:lineRule="auto"/>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fi</w:t>
            </w:r>
          </w:p>
        </w:tc>
        <w:tc>
          <w:tcPr>
            <w:tcBorders>
              <w:top w:color="000000" w:space="0" w:sz="0" w:val="nil"/>
              <w:left w:color="000000" w:space="0" w:sz="0" w:val="nil"/>
              <w:bottom w:color="000000" w:space="0" w:sz="8" w:val="single"/>
              <w:right w:color="000000" w:space="0" w:sz="0" w:val="nil"/>
            </w:tcBorders>
            <w:shd w:fill="ffffff" w:val="clear"/>
            <w:vAlign w:val="center"/>
          </w:tcPr>
          <w:p w:rsidR="00000000" w:rsidDel="00000000" w:rsidP="00000000" w:rsidRDefault="00000000" w:rsidRPr="00000000" w14:paraId="0000023C">
            <w:pPr>
              <w:spacing w:after="0" w:line="240" w:lineRule="auto"/>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Fi</w:t>
            </w:r>
          </w:p>
        </w:tc>
        <w:tc>
          <w:tcPr>
            <w:tcBorders>
              <w:top w:color="000000" w:space="0" w:sz="0" w:val="nil"/>
              <w:left w:color="000000" w:space="0" w:sz="0" w:val="nil"/>
              <w:bottom w:color="000000" w:space="0" w:sz="8" w:val="single"/>
              <w:right w:color="000000" w:space="0" w:sz="0" w:val="nil"/>
            </w:tcBorders>
            <w:shd w:fill="ffffff" w:val="clear"/>
            <w:vAlign w:val="center"/>
          </w:tcPr>
          <w:p w:rsidR="00000000" w:rsidDel="00000000" w:rsidP="00000000" w:rsidRDefault="00000000" w:rsidRPr="00000000" w14:paraId="0000023D">
            <w:pPr>
              <w:spacing w:after="0" w:line="240" w:lineRule="auto"/>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fi</w:t>
            </w:r>
          </w:p>
        </w:tc>
      </w:tr>
      <w:tr>
        <w:trPr>
          <w:cantSplit w:val="0"/>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23E">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Feminino</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3F">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12524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40">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48,95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41">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9495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42">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76,22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43">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2170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44">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17,42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45">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713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46">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5,72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47">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48">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0,05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49">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73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4A">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0,59</w:t>
            </w:r>
          </w:p>
        </w:tc>
      </w:tr>
      <w:tr>
        <w:trPr>
          <w:cantSplit w:val="0"/>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24B">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Masculino</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4C">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13061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4D">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51,05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4E">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9805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4F">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75,50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50">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2416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51">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18,60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52">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691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53">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5,32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54">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55">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0,05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56">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68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57">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0,52</w:t>
            </w:r>
          </w:p>
        </w:tc>
      </w:tr>
      <w:tr>
        <w:trPr>
          <w:cantSplit w:val="0"/>
          <w:tblHeader w:val="0"/>
        </w:trPr>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258">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Faixa Etária</w:t>
            </w:r>
          </w:p>
        </w:tc>
        <w:tc>
          <w:tcPr>
            <w:tcBorders>
              <w:top w:color="000000" w:space="0" w:sz="4" w:val="single"/>
              <w:left w:color="000000" w:space="0" w:sz="0" w:val="nil"/>
              <w:bottom w:color="000000" w:space="0" w:sz="8" w:val="single"/>
              <w:right w:color="000000" w:space="0" w:sz="0" w:val="nil"/>
            </w:tcBorders>
            <w:shd w:fill="ffffff" w:val="clear"/>
          </w:tcPr>
          <w:p w:rsidR="00000000" w:rsidDel="00000000" w:rsidP="00000000" w:rsidRDefault="00000000" w:rsidRPr="00000000" w14:paraId="00000259">
            <w:pPr>
              <w:spacing w:after="0" w:line="240" w:lineRule="auto"/>
              <w:rPr>
                <w:rFonts w:ascii="Times New Roman" w:cs="Times New Roman" w:eastAsia="Times New Roman" w:hAnsi="Times New Roman"/>
                <w:color w:val="000000"/>
                <w:sz w:val="20"/>
                <w:szCs w:val="20"/>
              </w:rPr>
            </w:pPr>
            <w:r w:rsidDel="00000000" w:rsidR="00000000" w:rsidRPr="00000000">
              <w:rPr>
                <w:rtl w:val="0"/>
              </w:rPr>
            </w:r>
          </w:p>
        </w:tc>
        <w:tc>
          <w:tcPr>
            <w:tcBorders>
              <w:top w:color="000000" w:space="0" w:sz="4" w:val="single"/>
              <w:left w:color="000000" w:space="0" w:sz="0" w:val="nil"/>
              <w:bottom w:color="000000" w:space="0" w:sz="8" w:val="single"/>
              <w:right w:color="000000" w:space="0" w:sz="0" w:val="nil"/>
            </w:tcBorders>
            <w:shd w:fill="ffffff" w:val="clear"/>
          </w:tcPr>
          <w:p w:rsidR="00000000" w:rsidDel="00000000" w:rsidP="00000000" w:rsidRDefault="00000000" w:rsidRPr="00000000" w14:paraId="0000025A">
            <w:pPr>
              <w:spacing w:after="0" w:line="240" w:lineRule="auto"/>
              <w:rPr>
                <w:rFonts w:ascii="Times New Roman" w:cs="Times New Roman" w:eastAsia="Times New Roman" w:hAnsi="Times New Roman"/>
                <w:color w:val="000000"/>
                <w:sz w:val="20"/>
                <w:szCs w:val="20"/>
              </w:rPr>
            </w:pPr>
            <w:r w:rsidDel="00000000" w:rsidR="00000000" w:rsidRPr="00000000">
              <w:rPr>
                <w:rtl w:val="0"/>
              </w:rPr>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25B">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25C">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25D">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25E">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25F">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260">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261">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262">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263">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264">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r>
      <w:tr>
        <w:trPr>
          <w:cantSplit w:val="0"/>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265">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66">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4418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67">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18,63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68">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3449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69">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78,48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6A">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828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6B">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18,84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6C">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89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6D">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2,03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6E">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6F">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0,05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70">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71">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0,61</w:t>
            </w:r>
          </w:p>
        </w:tc>
      </w:tr>
      <w:tr>
        <w:trPr>
          <w:cantSplit w:val="0"/>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272">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10-19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73">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3414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74">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14,40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75">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2744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76">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80,71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77">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506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78">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14,88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79">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132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7A">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3,88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7B">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7C">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0,03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7D">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7E">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0,50</w:t>
            </w:r>
          </w:p>
        </w:tc>
      </w:tr>
      <w:tr>
        <w:trPr>
          <w:cantSplit w:val="0"/>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27F">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20-39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80">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6687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81">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28,20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82">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4725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83">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71,08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84">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1339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85">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20,14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86">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537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87">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8,08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88">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89">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0,08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8A">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41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8B">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0,62</w:t>
            </w:r>
          </w:p>
        </w:tc>
      </w:tr>
      <w:tr>
        <w:trPr>
          <w:cantSplit w:val="0"/>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28C">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40-59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8D">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5897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8E">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24,87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8F">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4376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90">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74,69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91">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1062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92">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18,13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93">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392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94">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6,69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95">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96">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0,05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97">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98">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0,44</w:t>
            </w:r>
          </w:p>
        </w:tc>
      </w:tr>
      <w:tr>
        <w:trPr>
          <w:cantSplit w:val="0"/>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299">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60-79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9A">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2883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9B">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12,16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9C">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2271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9D">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79,02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9E">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454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9F">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15,80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A0">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132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A1">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4,59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A2">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A3">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0,03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A4">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A5">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0,56</w:t>
            </w:r>
          </w:p>
        </w:tc>
      </w:tr>
      <w:tr>
        <w:trPr>
          <w:cantSplit w:val="0"/>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2A6">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80 e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A7">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411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A8">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1,73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A9">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329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AA">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80,84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AB">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63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AC">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15,48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AD">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AE">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3,19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AF">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B0">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0,00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B1">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B2">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0,49</w:t>
            </w:r>
          </w:p>
        </w:tc>
      </w:tr>
      <w:tr>
        <w:trPr>
          <w:cantSplit w:val="0"/>
          <w:tblHeader w:val="0"/>
        </w:trPr>
        <w:tc>
          <w:tcPr>
            <w:tcBorders>
              <w:top w:color="000000" w:space="0" w:sz="4" w:val="single"/>
              <w:left w:color="000000" w:space="0" w:sz="0" w:val="nil"/>
              <w:bottom w:color="000000" w:space="0" w:sz="8" w:val="single"/>
              <w:right w:color="000000" w:space="0" w:sz="0" w:val="nil"/>
            </w:tcBorders>
            <w:shd w:fill="ffffff" w:val="clear"/>
            <w:vAlign w:val="center"/>
          </w:tcPr>
          <w:p w:rsidR="00000000" w:rsidDel="00000000" w:rsidP="00000000" w:rsidRDefault="00000000" w:rsidRPr="00000000" w14:paraId="000002B3">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Gestante</w:t>
            </w:r>
          </w:p>
        </w:tc>
        <w:tc>
          <w:tcPr>
            <w:tcBorders>
              <w:top w:color="000000" w:space="0" w:sz="4" w:val="single"/>
              <w:left w:color="000000" w:space="0" w:sz="0" w:val="nil"/>
              <w:bottom w:color="000000" w:space="0" w:sz="8" w:val="single"/>
              <w:right w:color="000000" w:space="0" w:sz="0" w:val="nil"/>
            </w:tcBorders>
            <w:shd w:fill="ffffff" w:val="clear"/>
          </w:tcPr>
          <w:p w:rsidR="00000000" w:rsidDel="00000000" w:rsidP="00000000" w:rsidRDefault="00000000" w:rsidRPr="00000000" w14:paraId="000002B4">
            <w:pPr>
              <w:spacing w:after="0" w:line="240" w:lineRule="auto"/>
              <w:rPr>
                <w:rFonts w:ascii="Times New Roman" w:cs="Times New Roman" w:eastAsia="Times New Roman" w:hAnsi="Times New Roman"/>
                <w:color w:val="000000"/>
                <w:sz w:val="20"/>
                <w:szCs w:val="20"/>
              </w:rPr>
            </w:pPr>
            <w:r w:rsidDel="00000000" w:rsidR="00000000" w:rsidRPr="00000000">
              <w:rPr>
                <w:rtl w:val="0"/>
              </w:rPr>
            </w:r>
          </w:p>
        </w:tc>
        <w:tc>
          <w:tcPr>
            <w:tcBorders>
              <w:top w:color="000000" w:space="0" w:sz="4" w:val="single"/>
              <w:left w:color="000000" w:space="0" w:sz="0" w:val="nil"/>
              <w:bottom w:color="000000" w:space="0" w:sz="8" w:val="single"/>
              <w:right w:color="000000" w:space="0" w:sz="0" w:val="nil"/>
            </w:tcBorders>
            <w:shd w:fill="ffffff" w:val="clear"/>
          </w:tcPr>
          <w:p w:rsidR="00000000" w:rsidDel="00000000" w:rsidP="00000000" w:rsidRDefault="00000000" w:rsidRPr="00000000" w14:paraId="000002B5">
            <w:pPr>
              <w:spacing w:after="0" w:line="240" w:lineRule="auto"/>
              <w:rPr>
                <w:rFonts w:ascii="Times New Roman" w:cs="Times New Roman" w:eastAsia="Times New Roman" w:hAnsi="Times New Roman"/>
                <w:color w:val="000000"/>
                <w:sz w:val="20"/>
                <w:szCs w:val="20"/>
              </w:rPr>
            </w:pPr>
            <w:r w:rsidDel="00000000" w:rsidR="00000000" w:rsidRPr="00000000">
              <w:rPr>
                <w:rtl w:val="0"/>
              </w:rPr>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2B6">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2B7">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4" w:val="single"/>
              <w:left w:color="000000" w:space="0" w:sz="0" w:val="nil"/>
              <w:bottom w:color="000000" w:space="0" w:sz="8" w:val="single"/>
              <w:right w:color="000000" w:space="0" w:sz="0" w:val="nil"/>
            </w:tcBorders>
            <w:shd w:fill="ffffff" w:val="clear"/>
          </w:tcPr>
          <w:p w:rsidR="00000000" w:rsidDel="00000000" w:rsidP="00000000" w:rsidRDefault="00000000" w:rsidRPr="00000000" w14:paraId="000002B8">
            <w:pPr>
              <w:spacing w:after="0" w:line="240" w:lineRule="auto"/>
              <w:rPr>
                <w:rFonts w:ascii="Times New Roman" w:cs="Times New Roman" w:eastAsia="Times New Roman" w:hAnsi="Times New Roman"/>
                <w:color w:val="000000"/>
                <w:sz w:val="20"/>
                <w:szCs w:val="20"/>
              </w:rPr>
            </w:pPr>
            <w:r w:rsidDel="00000000" w:rsidR="00000000" w:rsidRPr="00000000">
              <w:rPr>
                <w:rtl w:val="0"/>
              </w:rPr>
            </w:r>
          </w:p>
        </w:tc>
        <w:tc>
          <w:tcPr>
            <w:tcBorders>
              <w:top w:color="000000" w:space="0" w:sz="4" w:val="single"/>
              <w:left w:color="000000" w:space="0" w:sz="0" w:val="nil"/>
              <w:bottom w:color="000000" w:space="0" w:sz="8" w:val="single"/>
              <w:right w:color="000000" w:space="0" w:sz="0" w:val="nil"/>
            </w:tcBorders>
            <w:shd w:fill="ffffff" w:val="clear"/>
          </w:tcPr>
          <w:p w:rsidR="00000000" w:rsidDel="00000000" w:rsidP="00000000" w:rsidRDefault="00000000" w:rsidRPr="00000000" w14:paraId="000002B9">
            <w:pPr>
              <w:spacing w:after="0" w:line="240" w:lineRule="auto"/>
              <w:rPr>
                <w:rFonts w:ascii="Times New Roman" w:cs="Times New Roman" w:eastAsia="Times New Roman" w:hAnsi="Times New Roman"/>
                <w:color w:val="000000"/>
                <w:sz w:val="20"/>
                <w:szCs w:val="20"/>
              </w:rPr>
            </w:pPr>
            <w:r w:rsidDel="00000000" w:rsidR="00000000" w:rsidRPr="00000000">
              <w:rPr>
                <w:rtl w:val="0"/>
              </w:rPr>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2BA">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2BB">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2BC">
            <w:pPr>
              <w:spacing w:after="0" w:line="240" w:lineRule="auto"/>
              <w:rPr>
                <w:rFonts w:ascii="Times New Roman" w:cs="Times New Roman" w:eastAsia="Times New Roman" w:hAnsi="Times New Roman"/>
                <w:color w:val="000000"/>
                <w:sz w:val="20"/>
                <w:szCs w:val="20"/>
              </w:rPr>
            </w:pPr>
            <w:r w:rsidDel="00000000" w:rsidR="00000000" w:rsidRPr="00000000">
              <w:rPr>
                <w:rtl w:val="0"/>
              </w:rPr>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2BD">
            <w:pPr>
              <w:spacing w:after="0" w:line="240" w:lineRule="auto"/>
              <w:rPr>
                <w:rFonts w:ascii="Times New Roman" w:cs="Times New Roman" w:eastAsia="Times New Roman" w:hAnsi="Times New Roman"/>
                <w:color w:val="000000"/>
                <w:sz w:val="20"/>
                <w:szCs w:val="20"/>
              </w:rPr>
            </w:pPr>
            <w:r w:rsidDel="00000000" w:rsidR="00000000" w:rsidRPr="00000000">
              <w:rPr>
                <w:rtl w:val="0"/>
              </w:rPr>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2BE">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2BF">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r>
      <w:tr>
        <w:trPr>
          <w:cantSplit w:val="0"/>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2C0">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Não</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2C1">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7888</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2C2">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98,21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C3">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6023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C4">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76,36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C5">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1431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C6">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18,14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C7">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384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C8">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4,87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C9">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CA">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0,01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CB">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49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CC">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0,62</w:t>
            </w:r>
          </w:p>
        </w:tc>
      </w:tr>
      <w:tr>
        <w:trPr>
          <w:cantSplit w:val="0"/>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2CD">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Sim</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2CE">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144</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2CF">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1,79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D0">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110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D1">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76,39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D2">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D3">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18,06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D4">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D5">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4,17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D6">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D7">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0,00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D8">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D9">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1,39</w:t>
            </w:r>
          </w:p>
        </w:tc>
      </w:tr>
      <w:tr>
        <w:trPr>
          <w:cantSplit w:val="0"/>
          <w:tblHeader w:val="0"/>
        </w:trPr>
        <w:tc>
          <w:tcPr>
            <w:tcBorders>
              <w:top w:color="000000" w:space="0" w:sz="4" w:val="single"/>
              <w:left w:color="000000" w:space="0" w:sz="0" w:val="nil"/>
              <w:bottom w:color="000000" w:space="0" w:sz="8" w:val="single"/>
              <w:right w:color="000000" w:space="0" w:sz="0" w:val="nil"/>
            </w:tcBorders>
            <w:shd w:fill="ffffff" w:val="clear"/>
            <w:vAlign w:val="center"/>
          </w:tcPr>
          <w:p w:rsidR="00000000" w:rsidDel="00000000" w:rsidP="00000000" w:rsidRDefault="00000000" w:rsidRPr="00000000" w14:paraId="000002DA">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Raça</w:t>
            </w:r>
          </w:p>
        </w:tc>
        <w:tc>
          <w:tcPr>
            <w:tcBorders>
              <w:top w:color="000000" w:space="0" w:sz="4" w:val="single"/>
              <w:left w:color="000000" w:space="0" w:sz="0" w:val="nil"/>
              <w:bottom w:color="000000" w:space="0" w:sz="8" w:val="single"/>
              <w:right w:color="000000" w:space="0" w:sz="0" w:val="nil"/>
            </w:tcBorders>
            <w:shd w:fill="ffffff" w:val="clear"/>
          </w:tcPr>
          <w:p w:rsidR="00000000" w:rsidDel="00000000" w:rsidP="00000000" w:rsidRDefault="00000000" w:rsidRPr="00000000" w14:paraId="000002DB">
            <w:pPr>
              <w:spacing w:after="0" w:line="240" w:lineRule="auto"/>
              <w:rPr>
                <w:rFonts w:ascii="Times New Roman" w:cs="Times New Roman" w:eastAsia="Times New Roman" w:hAnsi="Times New Roman"/>
                <w:color w:val="000000"/>
                <w:sz w:val="20"/>
                <w:szCs w:val="20"/>
              </w:rPr>
            </w:pPr>
            <w:r w:rsidDel="00000000" w:rsidR="00000000" w:rsidRPr="00000000">
              <w:rPr>
                <w:rtl w:val="0"/>
              </w:rPr>
            </w:r>
          </w:p>
        </w:tc>
        <w:tc>
          <w:tcPr>
            <w:tcBorders>
              <w:top w:color="000000" w:space="0" w:sz="4" w:val="single"/>
              <w:left w:color="000000" w:space="0" w:sz="0" w:val="nil"/>
              <w:bottom w:color="000000" w:space="0" w:sz="8" w:val="single"/>
              <w:right w:color="000000" w:space="0" w:sz="0" w:val="nil"/>
            </w:tcBorders>
            <w:shd w:fill="ffffff" w:val="clear"/>
          </w:tcPr>
          <w:p w:rsidR="00000000" w:rsidDel="00000000" w:rsidP="00000000" w:rsidRDefault="00000000" w:rsidRPr="00000000" w14:paraId="000002DC">
            <w:pPr>
              <w:spacing w:after="0" w:line="240" w:lineRule="auto"/>
              <w:rPr>
                <w:rFonts w:ascii="Times New Roman" w:cs="Times New Roman" w:eastAsia="Times New Roman" w:hAnsi="Times New Roman"/>
                <w:color w:val="000000"/>
                <w:sz w:val="20"/>
                <w:szCs w:val="20"/>
              </w:rPr>
            </w:pPr>
            <w:r w:rsidDel="00000000" w:rsidR="00000000" w:rsidRPr="00000000">
              <w:rPr>
                <w:rtl w:val="0"/>
              </w:rPr>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2DD">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2DE">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2DF">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2E0">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2E1">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2E2">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2E3">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2E4">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2E5">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2E6">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r>
      <w:tr>
        <w:trPr>
          <w:cantSplit w:val="0"/>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2E7">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Amarela</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E8">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69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E9">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0,27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EA">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EB">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55,07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EC">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ED">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13,04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EE">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EF">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31,88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F0">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F1">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0,00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F2">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F3">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0,00</w:t>
            </w:r>
          </w:p>
        </w:tc>
      </w:tr>
      <w:tr>
        <w:trPr>
          <w:cantSplit w:val="0"/>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2F4">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Branca</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F5">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1745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F6">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6,83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F7">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1230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F8">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71,02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F9">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400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FA">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23,09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FB">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91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FC">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5,25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FD">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FE">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0,00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FF">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300">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0,64</w:t>
            </w:r>
          </w:p>
        </w:tc>
      </w:tr>
      <w:tr>
        <w:trPr>
          <w:cantSplit w:val="0"/>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301">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Ignorado</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302">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633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303">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2,48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304">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417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305">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67,80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306">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67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307">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10,89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308">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128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309">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20,81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30A">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30B">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0,00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30C">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30D">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0,49</w:t>
            </w:r>
          </w:p>
        </w:tc>
      </w:tr>
      <w:tr>
        <w:trPr>
          <w:cantSplit w:val="0"/>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30E">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Indígena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30F">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310">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0,15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311">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312">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74,36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313">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314">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17,95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315">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316">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5,13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317">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318">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0,00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319">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31A">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2,56</w:t>
            </w:r>
          </w:p>
        </w:tc>
      </w:tr>
      <w:tr>
        <w:trPr>
          <w:cantSplit w:val="0"/>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31B">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Parda</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31C">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20682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31D">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80,95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31E">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15674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31F">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76,16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320">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3707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321">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18,01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322">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1079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323">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5,24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324">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325">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0,05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326">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110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327">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0,53</w:t>
            </w:r>
          </w:p>
        </w:tc>
      </w:tr>
      <w:tr>
        <w:trPr>
          <w:cantSplit w:val="0"/>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328">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Preta</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329">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2382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32A">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9,32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32B">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1897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32C">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79,97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32D">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383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32E">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16,15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32F">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75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330">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3,16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331">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332">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0,04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333">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334">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0,67</w:t>
            </w:r>
          </w:p>
        </w:tc>
      </w:tr>
      <w:tr>
        <w:trPr>
          <w:cantSplit w:val="0"/>
          <w:tblHeader w:val="0"/>
        </w:trPr>
        <w:tc>
          <w:tcPr>
            <w:tcBorders>
              <w:top w:color="000000" w:space="0" w:sz="4" w:val="single"/>
              <w:left w:color="000000" w:space="0" w:sz="0" w:val="nil"/>
              <w:bottom w:color="000000" w:space="0" w:sz="8" w:val="single"/>
              <w:right w:color="000000" w:space="0" w:sz="0" w:val="nil"/>
            </w:tcBorders>
            <w:shd w:fill="ffffff" w:val="clear"/>
            <w:vAlign w:val="center"/>
          </w:tcPr>
          <w:p w:rsidR="00000000" w:rsidDel="00000000" w:rsidP="00000000" w:rsidRDefault="00000000" w:rsidRPr="00000000" w14:paraId="00000335">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Escolaridade</w:t>
            </w:r>
          </w:p>
        </w:tc>
        <w:tc>
          <w:tcPr>
            <w:tcBorders>
              <w:top w:color="000000" w:space="0" w:sz="4" w:val="single"/>
              <w:left w:color="000000" w:space="0" w:sz="0" w:val="nil"/>
              <w:bottom w:color="000000" w:space="0" w:sz="8" w:val="single"/>
              <w:right w:color="000000" w:space="0" w:sz="0" w:val="nil"/>
            </w:tcBorders>
            <w:shd w:fill="ffffff" w:val="clear"/>
          </w:tcPr>
          <w:p w:rsidR="00000000" w:rsidDel="00000000" w:rsidP="00000000" w:rsidRDefault="00000000" w:rsidRPr="00000000" w14:paraId="00000336">
            <w:pPr>
              <w:spacing w:after="0" w:line="240" w:lineRule="auto"/>
              <w:rPr>
                <w:rFonts w:ascii="Times New Roman" w:cs="Times New Roman" w:eastAsia="Times New Roman" w:hAnsi="Times New Roman"/>
                <w:color w:val="000000"/>
                <w:sz w:val="20"/>
                <w:szCs w:val="20"/>
              </w:rPr>
            </w:pPr>
            <w:r w:rsidDel="00000000" w:rsidR="00000000" w:rsidRPr="00000000">
              <w:rPr>
                <w:rtl w:val="0"/>
              </w:rPr>
            </w:r>
          </w:p>
        </w:tc>
        <w:tc>
          <w:tcPr>
            <w:tcBorders>
              <w:top w:color="000000" w:space="0" w:sz="4" w:val="single"/>
              <w:left w:color="000000" w:space="0" w:sz="0" w:val="nil"/>
              <w:bottom w:color="000000" w:space="0" w:sz="8" w:val="single"/>
              <w:right w:color="000000" w:space="0" w:sz="0" w:val="nil"/>
            </w:tcBorders>
            <w:shd w:fill="ffffff" w:val="clear"/>
          </w:tcPr>
          <w:p w:rsidR="00000000" w:rsidDel="00000000" w:rsidP="00000000" w:rsidRDefault="00000000" w:rsidRPr="00000000" w14:paraId="00000337">
            <w:pPr>
              <w:spacing w:after="0" w:line="240" w:lineRule="auto"/>
              <w:rPr>
                <w:rFonts w:ascii="Times New Roman" w:cs="Times New Roman" w:eastAsia="Times New Roman" w:hAnsi="Times New Roman"/>
                <w:color w:val="000000"/>
                <w:sz w:val="20"/>
                <w:szCs w:val="20"/>
              </w:rPr>
            </w:pPr>
            <w:r w:rsidDel="00000000" w:rsidR="00000000" w:rsidRPr="00000000">
              <w:rPr>
                <w:rtl w:val="0"/>
              </w:rPr>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338">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339">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33A">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33B">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33C">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33D">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33E">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33F">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340">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341">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r>
      <w:tr>
        <w:trPr>
          <w:cantSplit w:val="0"/>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342">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Ens. Fund. Incompleto</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343">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9624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344">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49,61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345">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7267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346">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75,95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347">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1722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348">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18,00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349">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526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34A">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5,50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34B">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34C">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0,01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34D">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52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34E">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0,54</w:t>
            </w:r>
          </w:p>
        </w:tc>
      </w:tr>
      <w:tr>
        <w:trPr>
          <w:cantSplit w:val="0"/>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34F">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Ens. Fund. Completo</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350">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643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351">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3,31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352">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478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353">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74,92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354">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126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355">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19,75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356">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357">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4,70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358">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359">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0,00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35A">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35B">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0,63</w:t>
            </w:r>
          </w:p>
        </w:tc>
      </w:tr>
      <w:tr>
        <w:trPr>
          <w:cantSplit w:val="0"/>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35C">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Ens. Médio Completo</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35D">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5694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35E">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29,35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35F">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4310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360">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76,18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361">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1024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362">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18,10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363">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293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364">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5,18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365">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366">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0,04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367">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368">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0,51</w:t>
            </w:r>
          </w:p>
        </w:tc>
      </w:tr>
      <w:tr>
        <w:trPr>
          <w:cantSplit w:val="0"/>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369">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Ens. Médio Incompleto</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36A">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1683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36B">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8,67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36C">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1281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36D">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76,48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36E">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290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36F">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17,31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370">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90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371">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5,37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372">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373">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0,06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374">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375">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0,78</w:t>
            </w:r>
          </w:p>
        </w:tc>
      </w:tr>
      <w:tr>
        <w:trPr>
          <w:cantSplit w:val="0"/>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376">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Ens. Superior Incompleto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377">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926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378">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4,77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379">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701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37A">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75,95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37B">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162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37C">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17,55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37D">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57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37E">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6,18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37F">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380">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0,00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381">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382">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0,33</w:t>
            </w:r>
          </w:p>
        </w:tc>
      </w:tr>
      <w:tr>
        <w:trPr>
          <w:cantSplit w:val="0"/>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383">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Ens. Superior Completo</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384">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831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385">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4,28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386">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619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387">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74,67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388">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155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389">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18,70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38A">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52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38B">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6,27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38C">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38D">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0,00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38E">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38F">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0,36</w:t>
            </w:r>
          </w:p>
        </w:tc>
      </w:tr>
      <w:tr>
        <w:trPr>
          <w:cantSplit w:val="0"/>
          <w:tblHeader w:val="0"/>
        </w:trPr>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390">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Zona</w:t>
            </w:r>
          </w:p>
        </w:tc>
        <w:tc>
          <w:tcPr>
            <w:tcBorders>
              <w:top w:color="000000" w:space="0" w:sz="4" w:val="single"/>
              <w:left w:color="000000" w:space="0" w:sz="0" w:val="nil"/>
              <w:bottom w:color="000000" w:space="0" w:sz="8" w:val="single"/>
              <w:right w:color="000000" w:space="0" w:sz="0" w:val="nil"/>
            </w:tcBorders>
            <w:shd w:fill="ffffff" w:val="clear"/>
          </w:tcPr>
          <w:p w:rsidR="00000000" w:rsidDel="00000000" w:rsidP="00000000" w:rsidRDefault="00000000" w:rsidRPr="00000000" w14:paraId="00000391">
            <w:pPr>
              <w:spacing w:after="0" w:line="240" w:lineRule="auto"/>
              <w:rPr>
                <w:rFonts w:ascii="Times New Roman" w:cs="Times New Roman" w:eastAsia="Times New Roman" w:hAnsi="Times New Roman"/>
                <w:color w:val="000000"/>
                <w:sz w:val="20"/>
                <w:szCs w:val="20"/>
              </w:rPr>
            </w:pPr>
            <w:r w:rsidDel="00000000" w:rsidR="00000000" w:rsidRPr="00000000">
              <w:rPr>
                <w:rtl w:val="0"/>
              </w:rPr>
            </w:r>
          </w:p>
        </w:tc>
        <w:tc>
          <w:tcPr>
            <w:tcBorders>
              <w:top w:color="000000" w:space="0" w:sz="4" w:val="single"/>
              <w:left w:color="000000" w:space="0" w:sz="0" w:val="nil"/>
              <w:bottom w:color="000000" w:space="0" w:sz="8" w:val="single"/>
              <w:right w:color="000000" w:space="0" w:sz="0" w:val="nil"/>
            </w:tcBorders>
            <w:shd w:fill="ffffff" w:val="clear"/>
          </w:tcPr>
          <w:p w:rsidR="00000000" w:rsidDel="00000000" w:rsidP="00000000" w:rsidRDefault="00000000" w:rsidRPr="00000000" w14:paraId="00000392">
            <w:pPr>
              <w:spacing w:after="0" w:line="240" w:lineRule="auto"/>
              <w:rPr>
                <w:rFonts w:ascii="Times New Roman" w:cs="Times New Roman" w:eastAsia="Times New Roman" w:hAnsi="Times New Roman"/>
                <w:color w:val="000000"/>
                <w:sz w:val="20"/>
                <w:szCs w:val="20"/>
              </w:rPr>
            </w:pPr>
            <w:r w:rsidDel="00000000" w:rsidR="00000000" w:rsidRPr="00000000">
              <w:rPr>
                <w:rtl w:val="0"/>
              </w:rPr>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393">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394">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395">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396">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397">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398">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399">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39A">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39B">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39C">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r>
      <w:tr>
        <w:trPr>
          <w:cantSplit w:val="0"/>
          <w:tblHeader w:val="0"/>
        </w:trPr>
        <w:tc>
          <w:tcPr>
            <w:tcBorders>
              <w:top w:color="000000" w:space="0" w:sz="0" w:val="nil"/>
              <w:left w:color="000000" w:space="0" w:sz="0" w:val="nil"/>
              <w:right w:color="000000" w:space="0" w:sz="0" w:val="nil"/>
            </w:tcBorders>
            <w:shd w:fill="ffffff" w:val="clear"/>
            <w:vAlign w:val="center"/>
          </w:tcPr>
          <w:p w:rsidR="00000000" w:rsidDel="00000000" w:rsidP="00000000" w:rsidRDefault="00000000" w:rsidRPr="00000000" w14:paraId="0000039D">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Rural </w:t>
            </w:r>
          </w:p>
        </w:tc>
        <w:tc>
          <w:tcPr>
            <w:tcBorders>
              <w:top w:color="000000" w:space="0" w:sz="0" w:val="nil"/>
              <w:left w:color="000000" w:space="0" w:sz="0" w:val="nil"/>
              <w:right w:color="000000" w:space="0" w:sz="0" w:val="nil"/>
            </w:tcBorders>
            <w:shd w:fill="ffffff" w:val="clear"/>
            <w:vAlign w:val="bottom"/>
          </w:tcPr>
          <w:p w:rsidR="00000000" w:rsidDel="00000000" w:rsidP="00000000" w:rsidRDefault="00000000" w:rsidRPr="00000000" w14:paraId="0000039E">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2281</w:t>
            </w:r>
          </w:p>
        </w:tc>
        <w:tc>
          <w:tcPr>
            <w:tcBorders>
              <w:top w:color="000000" w:space="0" w:sz="0" w:val="nil"/>
              <w:left w:color="000000" w:space="0" w:sz="0" w:val="nil"/>
              <w:right w:color="000000" w:space="0" w:sz="0" w:val="nil"/>
            </w:tcBorders>
            <w:shd w:fill="ffffff" w:val="clear"/>
            <w:vAlign w:val="bottom"/>
          </w:tcPr>
          <w:p w:rsidR="00000000" w:rsidDel="00000000" w:rsidP="00000000" w:rsidRDefault="00000000" w:rsidRPr="00000000" w14:paraId="0000039F">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9,03</w:t>
            </w:r>
          </w:p>
        </w:tc>
        <w:tc>
          <w:tcPr>
            <w:tcBorders>
              <w:top w:color="000000" w:space="0" w:sz="0" w:val="nil"/>
              <w:left w:color="000000" w:space="0" w:sz="0" w:val="nil"/>
              <w:right w:color="000000" w:space="0" w:sz="0" w:val="nil"/>
            </w:tcBorders>
            <w:shd w:fill="ffffff" w:val="clear"/>
            <w:vAlign w:val="bottom"/>
          </w:tcPr>
          <w:p w:rsidR="00000000" w:rsidDel="00000000" w:rsidP="00000000" w:rsidRDefault="00000000" w:rsidRPr="00000000" w14:paraId="000003A0">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1820</w:t>
            </w:r>
          </w:p>
        </w:tc>
        <w:tc>
          <w:tcPr>
            <w:tcBorders>
              <w:top w:color="000000" w:space="0" w:sz="0" w:val="nil"/>
              <w:left w:color="000000" w:space="0" w:sz="0" w:val="nil"/>
              <w:right w:color="000000" w:space="0" w:sz="0" w:val="nil"/>
            </w:tcBorders>
            <w:shd w:fill="ffffff" w:val="clear"/>
            <w:vAlign w:val="bottom"/>
          </w:tcPr>
          <w:p w:rsidR="00000000" w:rsidDel="00000000" w:rsidP="00000000" w:rsidRDefault="00000000" w:rsidRPr="00000000" w14:paraId="000003A1">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80,18</w:t>
            </w:r>
          </w:p>
        </w:tc>
        <w:tc>
          <w:tcPr>
            <w:tcBorders>
              <w:top w:color="000000" w:space="0" w:sz="0" w:val="nil"/>
              <w:left w:color="000000" w:space="0" w:sz="0" w:val="nil"/>
              <w:right w:color="000000" w:space="0" w:sz="0" w:val="nil"/>
            </w:tcBorders>
            <w:shd w:fill="ffffff" w:val="clear"/>
            <w:vAlign w:val="bottom"/>
          </w:tcPr>
          <w:p w:rsidR="00000000" w:rsidDel="00000000" w:rsidP="00000000" w:rsidRDefault="00000000" w:rsidRPr="00000000" w14:paraId="000003A2">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327</w:t>
            </w:r>
          </w:p>
        </w:tc>
        <w:tc>
          <w:tcPr>
            <w:tcBorders>
              <w:top w:color="000000" w:space="0" w:sz="0" w:val="nil"/>
              <w:left w:color="000000" w:space="0" w:sz="0" w:val="nil"/>
              <w:right w:color="000000" w:space="0" w:sz="0" w:val="nil"/>
            </w:tcBorders>
            <w:shd w:fill="ffffff" w:val="clear"/>
            <w:vAlign w:val="bottom"/>
          </w:tcPr>
          <w:p w:rsidR="00000000" w:rsidDel="00000000" w:rsidP="00000000" w:rsidRDefault="00000000" w:rsidRPr="00000000" w14:paraId="000003A3">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14,41</w:t>
            </w:r>
          </w:p>
        </w:tc>
        <w:tc>
          <w:tcPr>
            <w:tcBorders>
              <w:top w:color="000000" w:space="0" w:sz="0" w:val="nil"/>
              <w:left w:color="000000" w:space="0" w:sz="0" w:val="nil"/>
              <w:right w:color="000000" w:space="0" w:sz="0" w:val="nil"/>
            </w:tcBorders>
            <w:shd w:fill="ffffff" w:val="clear"/>
            <w:vAlign w:val="bottom"/>
          </w:tcPr>
          <w:p w:rsidR="00000000" w:rsidDel="00000000" w:rsidP="00000000" w:rsidRDefault="00000000" w:rsidRPr="00000000" w14:paraId="000003A4">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109</w:t>
            </w:r>
          </w:p>
        </w:tc>
        <w:tc>
          <w:tcPr>
            <w:tcBorders>
              <w:top w:color="000000" w:space="0" w:sz="0" w:val="nil"/>
              <w:left w:color="000000" w:space="0" w:sz="0" w:val="nil"/>
              <w:right w:color="000000" w:space="0" w:sz="0" w:val="nil"/>
            </w:tcBorders>
            <w:shd w:fill="ffffff" w:val="clear"/>
            <w:vAlign w:val="bottom"/>
          </w:tcPr>
          <w:p w:rsidR="00000000" w:rsidDel="00000000" w:rsidP="00000000" w:rsidRDefault="00000000" w:rsidRPr="00000000" w14:paraId="000003A5">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4,80</w:t>
            </w:r>
          </w:p>
        </w:tc>
        <w:tc>
          <w:tcPr>
            <w:tcBorders>
              <w:top w:color="000000" w:space="0" w:sz="0" w:val="nil"/>
              <w:left w:color="000000" w:space="0" w:sz="0" w:val="nil"/>
              <w:right w:color="000000" w:space="0" w:sz="0" w:val="nil"/>
            </w:tcBorders>
            <w:shd w:fill="ffffff" w:val="clear"/>
            <w:vAlign w:val="bottom"/>
          </w:tcPr>
          <w:p w:rsidR="00000000" w:rsidDel="00000000" w:rsidP="00000000" w:rsidRDefault="00000000" w:rsidRPr="00000000" w14:paraId="000003A6">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w:t>
            </w:r>
          </w:p>
        </w:tc>
        <w:tc>
          <w:tcPr>
            <w:tcBorders>
              <w:top w:color="000000" w:space="0" w:sz="0" w:val="nil"/>
              <w:left w:color="000000" w:space="0" w:sz="0" w:val="nil"/>
              <w:right w:color="000000" w:space="0" w:sz="0" w:val="nil"/>
            </w:tcBorders>
            <w:shd w:fill="ffffff" w:val="clear"/>
            <w:vAlign w:val="bottom"/>
          </w:tcPr>
          <w:p w:rsidR="00000000" w:rsidDel="00000000" w:rsidP="00000000" w:rsidRDefault="00000000" w:rsidRPr="00000000" w14:paraId="000003A7">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0,04</w:t>
            </w:r>
          </w:p>
        </w:tc>
        <w:tc>
          <w:tcPr>
            <w:tcBorders>
              <w:top w:color="000000" w:space="0" w:sz="0" w:val="nil"/>
              <w:left w:color="000000" w:space="0" w:sz="0" w:val="nil"/>
              <w:right w:color="000000" w:space="0" w:sz="0" w:val="nil"/>
            </w:tcBorders>
            <w:shd w:fill="ffffff" w:val="clear"/>
            <w:vAlign w:val="bottom"/>
          </w:tcPr>
          <w:p w:rsidR="00000000" w:rsidDel="00000000" w:rsidP="00000000" w:rsidRDefault="00000000" w:rsidRPr="00000000" w14:paraId="000003A8">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13</w:t>
            </w:r>
          </w:p>
        </w:tc>
        <w:tc>
          <w:tcPr>
            <w:tcBorders>
              <w:top w:color="000000" w:space="0" w:sz="0" w:val="nil"/>
              <w:left w:color="000000" w:space="0" w:sz="0" w:val="nil"/>
              <w:right w:color="000000" w:space="0" w:sz="0" w:val="nil"/>
            </w:tcBorders>
            <w:shd w:fill="ffffff" w:val="clear"/>
            <w:vAlign w:val="bottom"/>
          </w:tcPr>
          <w:p w:rsidR="00000000" w:rsidDel="00000000" w:rsidP="00000000" w:rsidRDefault="00000000" w:rsidRPr="00000000" w14:paraId="000003A9">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0,57</w:t>
            </w:r>
          </w:p>
        </w:tc>
      </w:tr>
      <w:tr>
        <w:trPr>
          <w:cantSplit w:val="0"/>
          <w:tblHeader w:val="0"/>
        </w:trPr>
        <w:tc>
          <w:tcPr>
            <w:tcBorders>
              <w:top w:color="000000" w:space="0" w:sz="0" w:val="nil"/>
              <w:left w:color="000000" w:space="0" w:sz="0" w:val="nil"/>
              <w:bottom w:color="000000" w:space="0" w:sz="4" w:val="single"/>
              <w:right w:color="000000" w:space="0" w:sz="0" w:val="nil"/>
            </w:tcBorders>
            <w:shd w:fill="ffffff" w:val="clear"/>
            <w:vAlign w:val="center"/>
          </w:tcPr>
          <w:p w:rsidR="00000000" w:rsidDel="00000000" w:rsidP="00000000" w:rsidRDefault="00000000" w:rsidRPr="00000000" w14:paraId="000003AA">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Urbana</w:t>
            </w:r>
          </w:p>
        </w:tc>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3AB">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22977</w:t>
            </w:r>
          </w:p>
        </w:tc>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3AC">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90,97</w:t>
            </w:r>
          </w:p>
        </w:tc>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3AD">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17247</w:t>
            </w:r>
          </w:p>
        </w:tc>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3AE">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75,49</w:t>
            </w:r>
          </w:p>
        </w:tc>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3AF">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4198</w:t>
            </w:r>
          </w:p>
        </w:tc>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3B0">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18,37</w:t>
            </w:r>
          </w:p>
        </w:tc>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3B1">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1265</w:t>
            </w:r>
          </w:p>
        </w:tc>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3B2">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5,54</w:t>
            </w:r>
          </w:p>
        </w:tc>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3B3">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11</w:t>
            </w:r>
          </w:p>
        </w:tc>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3B4">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0,05</w:t>
            </w:r>
          </w:p>
        </w:tc>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3B5">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126</w:t>
            </w:r>
          </w:p>
        </w:tc>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3B6">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0,55</w:t>
            </w:r>
          </w:p>
        </w:tc>
      </w:tr>
    </w:tbl>
    <w:p w:rsidR="00000000" w:rsidDel="00000000" w:rsidP="00000000" w:rsidRDefault="00000000" w:rsidRPr="00000000" w14:paraId="000003B7">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8">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60" w:before="120" w:line="240" w:lineRule="auto"/>
        <w:ind w:left="1134" w:right="0" w:hanging="1134"/>
        <w:jc w:val="both"/>
        <w:rPr>
          <w:rFonts w:ascii="Times New Roman" w:cs="Times New Roman" w:eastAsia="Times New Roman" w:hAnsi="Times New Roman"/>
          <w:b w:val="0"/>
          <w:i w:val="0"/>
          <w:smallCaps w:val="0"/>
          <w:strike w:val="0"/>
          <w:color w:val="000000"/>
          <w:sz w:val="20"/>
          <w:szCs w:val="20"/>
          <w:u w:val="none"/>
          <w:shd w:fill="auto" w:val="clear"/>
          <w:vertAlign w:val="baseline"/>
        </w:rPr>
        <w:sectPr>
          <w:type w:val="nextPage"/>
          <w:pgSz w:h="11906" w:w="16838" w:orient="landscape"/>
          <w:pgMar w:bottom="1134" w:top="1134" w:left="1134" w:right="1134" w:header="397" w:footer="680"/>
          <w:titlePg w:val="1"/>
        </w:sectPr>
      </w:pPr>
      <w:r w:rsidDel="00000000" w:rsidR="00000000" w:rsidRPr="00000000">
        <w:rPr>
          <w:rtl w:val="0"/>
        </w:rPr>
      </w:r>
    </w:p>
    <w:p w:rsidR="00000000" w:rsidDel="00000000" w:rsidP="00000000" w:rsidRDefault="00000000" w:rsidRPr="00000000" w14:paraId="000003B9">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60" w:before="120" w:line="240" w:lineRule="auto"/>
        <w:ind w:left="1134" w:right="0" w:hanging="1134"/>
        <w:jc w:val="both"/>
        <w:rPr>
          <w:rFonts w:ascii="Times New Roman" w:cs="Times New Roman" w:eastAsia="Times New Roman" w:hAnsi="Times New Roman"/>
          <w:b w:val="0"/>
          <w:i w:val="0"/>
          <w:smallCaps w:val="0"/>
          <w:strike w:val="0"/>
          <w:color w:val="000000"/>
          <w:sz w:val="22"/>
          <w:szCs w:val="22"/>
          <w:u w:val="none"/>
          <w:shd w:fill="auto" w:val="clear"/>
          <w:vertAlign w:val="baseline"/>
        </w:rPr>
      </w:pPr>
      <w:bookmarkStart w:colFirst="0" w:colLast="0" w:name="_heading=h.28h4qwu" w:id="46"/>
      <w:bookmarkEnd w:id="46"/>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Tabela 3</w:t>
        <w:tab/>
        <w:t xml:space="preserve">Frequências absoluta (Fi) e relativa (fi) de indivíduos encaminhados para tratamento antirrábico, segundo a conduta indicada e tipo de espécie animal envolvido no agravo. Feira de Santana, BA. 2008 -2019.</w:t>
      </w:r>
    </w:p>
    <w:tbl>
      <w:tblPr>
        <w:tblStyle w:val="Table5"/>
        <w:tblW w:w="8504.0" w:type="dxa"/>
        <w:jc w:val="center"/>
        <w:tblLayout w:type="fixed"/>
        <w:tblLook w:val="0400"/>
      </w:tblPr>
      <w:tblGrid>
        <w:gridCol w:w="1423"/>
        <w:gridCol w:w="640"/>
        <w:gridCol w:w="590"/>
        <w:gridCol w:w="540"/>
        <w:gridCol w:w="590"/>
        <w:gridCol w:w="549"/>
        <w:gridCol w:w="600"/>
        <w:gridCol w:w="510"/>
        <w:gridCol w:w="735"/>
        <w:gridCol w:w="472"/>
        <w:gridCol w:w="525"/>
        <w:gridCol w:w="640"/>
        <w:gridCol w:w="690"/>
        <w:tblGridChange w:id="0">
          <w:tblGrid>
            <w:gridCol w:w="1423"/>
            <w:gridCol w:w="640"/>
            <w:gridCol w:w="590"/>
            <w:gridCol w:w="540"/>
            <w:gridCol w:w="590"/>
            <w:gridCol w:w="549"/>
            <w:gridCol w:w="600"/>
            <w:gridCol w:w="510"/>
            <w:gridCol w:w="735"/>
            <w:gridCol w:w="472"/>
            <w:gridCol w:w="525"/>
            <w:gridCol w:w="640"/>
            <w:gridCol w:w="690"/>
          </w:tblGrid>
        </w:tblGridChange>
      </w:tblGrid>
      <w:tr>
        <w:trPr>
          <w:cantSplit w:val="0"/>
          <w:trHeight w:val="316" w:hRule="atLeast"/>
          <w:tblHeader w:val="0"/>
        </w:trPr>
        <w:tc>
          <w:tcPr>
            <w:vMerge w:val="restart"/>
            <w:tcBorders>
              <w:top w:color="000000" w:space="0" w:sz="4" w:val="single"/>
              <w:left w:color="000000" w:space="0" w:sz="0" w:val="nil"/>
              <w:right w:color="000000" w:space="0" w:sz="0" w:val="nil"/>
            </w:tcBorders>
            <w:shd w:fill="ffffff" w:val="clear"/>
            <w:vAlign w:val="bottom"/>
          </w:tcPr>
          <w:p w:rsidR="00000000" w:rsidDel="00000000" w:rsidP="00000000" w:rsidRDefault="00000000" w:rsidRPr="00000000" w14:paraId="000003BA">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Tipo de espécie animal envolvida no agravo</w:t>
            </w:r>
          </w:p>
        </w:tc>
        <w:tc>
          <w:tcPr>
            <w:gridSpan w:val="2"/>
            <w:tcBorders>
              <w:top w:color="000000" w:space="0" w:sz="4" w:val="single"/>
              <w:left w:color="000000" w:space="0" w:sz="0" w:val="nil"/>
              <w:bottom w:color="000000" w:space="0" w:sz="0" w:val="nil"/>
              <w:right w:color="000000" w:space="0" w:sz="4" w:val="single"/>
            </w:tcBorders>
            <w:shd w:fill="ffffff" w:val="clear"/>
            <w:vAlign w:val="center"/>
          </w:tcPr>
          <w:p w:rsidR="00000000" w:rsidDel="00000000" w:rsidP="00000000" w:rsidRDefault="00000000" w:rsidRPr="00000000" w14:paraId="000003BB">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Não tratado</w:t>
            </w:r>
          </w:p>
        </w:tc>
        <w:tc>
          <w:tcPr>
            <w:gridSpan w:val="2"/>
            <w:tcBorders>
              <w:top w:color="000000" w:space="0" w:sz="4" w:val="single"/>
              <w:left w:color="000000" w:space="0" w:sz="4" w:val="single"/>
              <w:bottom w:color="000000" w:space="0" w:sz="0" w:val="nil"/>
              <w:right w:color="000000" w:space="0" w:sz="4" w:val="single"/>
            </w:tcBorders>
            <w:shd w:fill="ffffff" w:val="clear"/>
            <w:vAlign w:val="center"/>
          </w:tcPr>
          <w:p w:rsidR="00000000" w:rsidDel="00000000" w:rsidP="00000000" w:rsidRDefault="00000000" w:rsidRPr="00000000" w14:paraId="000003BD">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Vacina</w:t>
            </w:r>
          </w:p>
        </w:tc>
        <w:tc>
          <w:tcPr>
            <w:gridSpan w:val="2"/>
            <w:tcBorders>
              <w:top w:color="000000" w:space="0" w:sz="4" w:val="single"/>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3BF">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Soro e Vacina</w:t>
            </w:r>
          </w:p>
        </w:tc>
        <w:tc>
          <w:tcPr>
            <w:gridSpan w:val="2"/>
            <w:tcBorders>
              <w:top w:color="000000" w:space="0" w:sz="4" w:val="single"/>
              <w:left w:color="000000" w:space="0" w:sz="4" w:val="single"/>
              <w:bottom w:color="000000" w:space="0" w:sz="0" w:val="nil"/>
              <w:right w:color="000000" w:space="0" w:sz="4" w:val="single"/>
            </w:tcBorders>
            <w:shd w:fill="ffffff" w:val="clear"/>
            <w:vAlign w:val="center"/>
          </w:tcPr>
          <w:p w:rsidR="00000000" w:rsidDel="00000000" w:rsidP="00000000" w:rsidRDefault="00000000" w:rsidRPr="00000000" w14:paraId="000003C1">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Esquema de reexposição</w:t>
            </w:r>
          </w:p>
        </w:tc>
        <w:tc>
          <w:tcPr>
            <w:gridSpan w:val="2"/>
            <w:tcBorders>
              <w:top w:color="000000" w:space="0" w:sz="4" w:val="single"/>
              <w:left w:color="000000" w:space="0" w:sz="4" w:val="single"/>
              <w:bottom w:color="000000" w:space="0" w:sz="0" w:val="nil"/>
              <w:right w:color="000000" w:space="0" w:sz="4" w:val="single"/>
            </w:tcBorders>
            <w:shd w:fill="ffffff" w:val="clear"/>
            <w:vAlign w:val="center"/>
          </w:tcPr>
          <w:p w:rsidR="00000000" w:rsidDel="00000000" w:rsidP="00000000" w:rsidRDefault="00000000" w:rsidRPr="00000000" w14:paraId="000003C3">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Pré exposição</w:t>
            </w:r>
          </w:p>
        </w:tc>
        <w:tc>
          <w:tcPr>
            <w:gridSpan w:val="2"/>
            <w:tcBorders>
              <w:top w:color="000000" w:space="0" w:sz="4" w:val="single"/>
              <w:left w:color="000000" w:space="0" w:sz="4" w:val="single"/>
              <w:bottom w:color="000000" w:space="0" w:sz="0" w:val="nil"/>
              <w:right w:color="000000" w:space="0" w:sz="0" w:val="nil"/>
            </w:tcBorders>
            <w:shd w:fill="ffffff" w:val="clear"/>
            <w:vAlign w:val="center"/>
          </w:tcPr>
          <w:p w:rsidR="00000000" w:rsidDel="00000000" w:rsidP="00000000" w:rsidRDefault="00000000" w:rsidRPr="00000000" w14:paraId="000003C5">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TOTAL</w:t>
            </w:r>
          </w:p>
        </w:tc>
      </w:tr>
      <w:tr>
        <w:trPr>
          <w:cantSplit w:val="0"/>
          <w:trHeight w:val="316" w:hRule="atLeast"/>
          <w:tblHeader w:val="0"/>
        </w:trPr>
        <w:tc>
          <w:tcPr>
            <w:vMerge w:val="continue"/>
            <w:tcBorders>
              <w:top w:color="000000" w:space="0" w:sz="4" w:val="single"/>
              <w:left w:color="000000" w:space="0" w:sz="0" w:val="nil"/>
              <w:right w:color="000000" w:space="0" w:sz="0" w:val="nil"/>
            </w:tcBorders>
            <w:shd w:fill="ffffff" w:val="clear"/>
            <w:vAlign w:val="bottom"/>
          </w:tcPr>
          <w:p w:rsidR="00000000" w:rsidDel="00000000" w:rsidP="00000000" w:rsidRDefault="00000000" w:rsidRPr="00000000" w14:paraId="000003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0"/>
                <w:szCs w:val="20"/>
              </w:rPr>
            </w:pPr>
            <w:r w:rsidDel="00000000" w:rsidR="00000000" w:rsidRPr="00000000">
              <w:rPr>
                <w:rtl w:val="0"/>
              </w:rPr>
            </w:r>
          </w:p>
        </w:tc>
        <w:tc>
          <w:tcPr>
            <w:tcBorders>
              <w:top w:color="000000" w:space="0" w:sz="4" w:val="single"/>
              <w:left w:color="000000" w:space="0" w:sz="0" w:val="nil"/>
              <w:bottom w:color="000000" w:space="0" w:sz="8" w:val="single"/>
              <w:right w:color="000000" w:space="0" w:sz="0" w:val="nil"/>
            </w:tcBorders>
            <w:shd w:fill="ffffff" w:val="clear"/>
            <w:vAlign w:val="center"/>
          </w:tcPr>
          <w:p w:rsidR="00000000" w:rsidDel="00000000" w:rsidP="00000000" w:rsidRDefault="00000000" w:rsidRPr="00000000" w14:paraId="000003C8">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Fi</w:t>
            </w:r>
          </w:p>
        </w:tc>
        <w:tc>
          <w:tcPr>
            <w:tcBorders>
              <w:top w:color="000000" w:space="0" w:sz="4" w:val="single"/>
              <w:left w:color="000000" w:space="0" w:sz="0" w:val="nil"/>
              <w:bottom w:color="000000" w:space="0" w:sz="8" w:val="single"/>
              <w:right w:color="000000" w:space="0" w:sz="4" w:val="single"/>
            </w:tcBorders>
            <w:shd w:fill="ffffff" w:val="clear"/>
            <w:vAlign w:val="center"/>
          </w:tcPr>
          <w:p w:rsidR="00000000" w:rsidDel="00000000" w:rsidP="00000000" w:rsidRDefault="00000000" w:rsidRPr="00000000" w14:paraId="000003C9">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fi</w:t>
            </w:r>
          </w:p>
        </w:tc>
        <w:tc>
          <w:tcPr>
            <w:tcBorders>
              <w:top w:color="000000" w:space="0" w:sz="4" w:val="single"/>
              <w:left w:color="000000" w:space="0" w:sz="4" w:val="single"/>
              <w:bottom w:color="000000" w:space="0" w:sz="8" w:val="single"/>
              <w:right w:color="000000" w:space="0" w:sz="0" w:val="nil"/>
            </w:tcBorders>
            <w:shd w:fill="ffffff" w:val="clear"/>
            <w:vAlign w:val="center"/>
          </w:tcPr>
          <w:p w:rsidR="00000000" w:rsidDel="00000000" w:rsidP="00000000" w:rsidRDefault="00000000" w:rsidRPr="00000000" w14:paraId="000003CA">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Fi</w:t>
            </w:r>
          </w:p>
        </w:tc>
        <w:tc>
          <w:tcPr>
            <w:tcBorders>
              <w:top w:color="000000" w:space="0" w:sz="4" w:val="single"/>
              <w:left w:color="000000" w:space="0" w:sz="0" w:val="nil"/>
              <w:bottom w:color="000000" w:space="0" w:sz="8" w:val="single"/>
              <w:right w:color="000000" w:space="0" w:sz="4" w:val="single"/>
            </w:tcBorders>
            <w:shd w:fill="ffffff" w:val="clear"/>
            <w:vAlign w:val="center"/>
          </w:tcPr>
          <w:p w:rsidR="00000000" w:rsidDel="00000000" w:rsidP="00000000" w:rsidRDefault="00000000" w:rsidRPr="00000000" w14:paraId="000003CB">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fi</w:t>
            </w:r>
          </w:p>
        </w:tc>
        <w:tc>
          <w:tcPr>
            <w:tcBorders>
              <w:top w:color="000000" w:space="0" w:sz="4" w:val="single"/>
              <w:left w:color="000000" w:space="0" w:sz="4" w:val="single"/>
              <w:bottom w:color="000000" w:space="0" w:sz="8" w:val="single"/>
              <w:right w:color="000000" w:space="0" w:sz="0" w:val="nil"/>
            </w:tcBorders>
            <w:shd w:fill="auto" w:val="clear"/>
            <w:vAlign w:val="center"/>
          </w:tcPr>
          <w:p w:rsidR="00000000" w:rsidDel="00000000" w:rsidP="00000000" w:rsidRDefault="00000000" w:rsidRPr="00000000" w14:paraId="000003CC">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Fi</w:t>
            </w:r>
          </w:p>
        </w:tc>
        <w:tc>
          <w:tcPr>
            <w:tcBorders>
              <w:top w:color="000000" w:space="0" w:sz="4" w:val="single"/>
              <w:left w:color="000000" w:space="0" w:sz="0" w:val="nil"/>
              <w:bottom w:color="000000" w:space="0" w:sz="8" w:val="single"/>
              <w:right w:color="000000" w:space="0" w:sz="4" w:val="single"/>
            </w:tcBorders>
            <w:shd w:fill="auto" w:val="clear"/>
            <w:vAlign w:val="center"/>
          </w:tcPr>
          <w:p w:rsidR="00000000" w:rsidDel="00000000" w:rsidP="00000000" w:rsidRDefault="00000000" w:rsidRPr="00000000" w14:paraId="000003CD">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fi</w:t>
            </w:r>
          </w:p>
        </w:tc>
        <w:tc>
          <w:tcPr>
            <w:tcBorders>
              <w:top w:color="000000" w:space="0" w:sz="4" w:val="single"/>
              <w:left w:color="000000" w:space="0" w:sz="4" w:val="single"/>
              <w:bottom w:color="000000" w:space="0" w:sz="8" w:val="single"/>
              <w:right w:color="000000" w:space="0" w:sz="0" w:val="nil"/>
            </w:tcBorders>
            <w:shd w:fill="ffffff" w:val="clear"/>
            <w:vAlign w:val="center"/>
          </w:tcPr>
          <w:p w:rsidR="00000000" w:rsidDel="00000000" w:rsidP="00000000" w:rsidRDefault="00000000" w:rsidRPr="00000000" w14:paraId="000003CE">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Fi</w:t>
            </w:r>
          </w:p>
        </w:tc>
        <w:tc>
          <w:tcPr>
            <w:tcBorders>
              <w:top w:color="000000" w:space="0" w:sz="4" w:val="single"/>
              <w:left w:color="000000" w:space="0" w:sz="0" w:val="nil"/>
              <w:bottom w:color="000000" w:space="0" w:sz="8" w:val="single"/>
              <w:right w:color="000000" w:space="0" w:sz="4" w:val="single"/>
            </w:tcBorders>
            <w:shd w:fill="ffffff" w:val="clear"/>
            <w:vAlign w:val="center"/>
          </w:tcPr>
          <w:p w:rsidR="00000000" w:rsidDel="00000000" w:rsidP="00000000" w:rsidRDefault="00000000" w:rsidRPr="00000000" w14:paraId="000003CF">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fi</w:t>
            </w:r>
          </w:p>
        </w:tc>
        <w:tc>
          <w:tcPr>
            <w:tcBorders>
              <w:top w:color="000000" w:space="0" w:sz="4" w:val="single"/>
              <w:left w:color="000000" w:space="0" w:sz="4" w:val="single"/>
              <w:bottom w:color="000000" w:space="0" w:sz="8" w:val="single"/>
              <w:right w:color="000000" w:space="0" w:sz="0" w:val="nil"/>
            </w:tcBorders>
            <w:shd w:fill="ffffff" w:val="clear"/>
            <w:vAlign w:val="center"/>
          </w:tcPr>
          <w:p w:rsidR="00000000" w:rsidDel="00000000" w:rsidP="00000000" w:rsidRDefault="00000000" w:rsidRPr="00000000" w14:paraId="000003D0">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Fi</w:t>
            </w:r>
          </w:p>
        </w:tc>
        <w:tc>
          <w:tcPr>
            <w:tcBorders>
              <w:top w:color="000000" w:space="0" w:sz="4" w:val="single"/>
              <w:left w:color="000000" w:space="0" w:sz="0" w:val="nil"/>
              <w:bottom w:color="000000" w:space="0" w:sz="8" w:val="single"/>
              <w:right w:color="000000" w:space="0" w:sz="4" w:val="single"/>
            </w:tcBorders>
            <w:shd w:fill="ffffff" w:val="clear"/>
            <w:vAlign w:val="center"/>
          </w:tcPr>
          <w:p w:rsidR="00000000" w:rsidDel="00000000" w:rsidP="00000000" w:rsidRDefault="00000000" w:rsidRPr="00000000" w14:paraId="000003D1">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fi</w:t>
            </w:r>
          </w:p>
        </w:tc>
        <w:tc>
          <w:tcPr>
            <w:tcBorders>
              <w:top w:color="000000" w:space="0" w:sz="4" w:val="single"/>
              <w:left w:color="000000" w:space="0" w:sz="4" w:val="single"/>
              <w:bottom w:color="000000" w:space="0" w:sz="8" w:val="single"/>
              <w:right w:color="000000" w:space="0" w:sz="0" w:val="nil"/>
            </w:tcBorders>
            <w:shd w:fill="ffffff" w:val="clear"/>
            <w:vAlign w:val="center"/>
          </w:tcPr>
          <w:p w:rsidR="00000000" w:rsidDel="00000000" w:rsidP="00000000" w:rsidRDefault="00000000" w:rsidRPr="00000000" w14:paraId="000003D2">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Fi</w:t>
            </w:r>
          </w:p>
        </w:tc>
        <w:tc>
          <w:tcPr>
            <w:tcBorders>
              <w:top w:color="000000" w:space="0" w:sz="4" w:val="single"/>
              <w:left w:color="000000" w:space="0" w:sz="0" w:val="nil"/>
              <w:bottom w:color="000000" w:space="0" w:sz="8" w:val="single"/>
              <w:right w:color="000000" w:space="0" w:sz="0" w:val="nil"/>
            </w:tcBorders>
            <w:shd w:fill="ffffff" w:val="clear"/>
            <w:vAlign w:val="center"/>
          </w:tcPr>
          <w:p w:rsidR="00000000" w:rsidDel="00000000" w:rsidP="00000000" w:rsidRDefault="00000000" w:rsidRPr="00000000" w14:paraId="000003D3">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fi</w:t>
            </w:r>
          </w:p>
        </w:tc>
      </w:tr>
      <w:tr>
        <w:trPr>
          <w:cantSplit w:val="0"/>
          <w:trHeight w:val="316"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3D4">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Carnívoro</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3D5">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19220</w:t>
            </w:r>
          </w:p>
        </w:tc>
        <w:tc>
          <w:tcPr>
            <w:tcBorders>
              <w:top w:color="000000" w:space="0" w:sz="8" w:val="single"/>
              <w:left w:color="000000" w:space="0" w:sz="0" w:val="nil"/>
              <w:bottom w:color="000000" w:space="0" w:sz="0" w:val="nil"/>
              <w:right w:color="000000" w:space="0" w:sz="4" w:val="single"/>
            </w:tcBorders>
            <w:shd w:fill="ffffff" w:val="clear"/>
            <w:vAlign w:val="center"/>
          </w:tcPr>
          <w:p w:rsidR="00000000" w:rsidDel="00000000" w:rsidP="00000000" w:rsidRDefault="00000000" w:rsidRPr="00000000" w14:paraId="000003D6">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77,39</w:t>
            </w:r>
          </w:p>
        </w:tc>
        <w:tc>
          <w:tcPr>
            <w:tcBorders>
              <w:top w:color="000000" w:space="0" w:sz="0" w:val="nil"/>
              <w:left w:color="000000" w:space="0" w:sz="4" w:val="single"/>
              <w:bottom w:color="000000" w:space="0" w:sz="0" w:val="nil"/>
              <w:right w:color="000000" w:space="0" w:sz="0" w:val="nil"/>
            </w:tcBorders>
            <w:shd w:fill="ffffff" w:val="clear"/>
            <w:vAlign w:val="center"/>
          </w:tcPr>
          <w:p w:rsidR="00000000" w:rsidDel="00000000" w:rsidP="00000000" w:rsidRDefault="00000000" w:rsidRPr="00000000" w14:paraId="000003D7">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4431</w:t>
            </w:r>
          </w:p>
        </w:tc>
        <w:tc>
          <w:tcPr>
            <w:tcBorders>
              <w:top w:color="000000" w:space="0" w:sz="0" w:val="nil"/>
              <w:left w:color="000000" w:space="0" w:sz="0" w:val="nil"/>
              <w:bottom w:color="000000" w:space="0" w:sz="0" w:val="nil"/>
              <w:right w:color="000000" w:space="0" w:sz="4" w:val="single"/>
            </w:tcBorders>
            <w:shd w:fill="ffffff" w:val="clear"/>
            <w:vAlign w:val="center"/>
          </w:tcPr>
          <w:p w:rsidR="00000000" w:rsidDel="00000000" w:rsidP="00000000" w:rsidRDefault="00000000" w:rsidRPr="00000000" w14:paraId="000003D8">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17,84</w:t>
            </w:r>
          </w:p>
        </w:tc>
        <w:tc>
          <w:tcPr>
            <w:tcBorders>
              <w:top w:color="000000" w:space="0" w:sz="0" w:val="nil"/>
              <w:left w:color="000000" w:space="0" w:sz="4" w:val="single"/>
              <w:bottom w:color="000000" w:space="0" w:sz="0" w:val="nil"/>
              <w:right w:color="000000" w:space="0" w:sz="0" w:val="nil"/>
            </w:tcBorders>
            <w:shd w:fill="auto" w:val="clear"/>
            <w:vAlign w:val="center"/>
          </w:tcPr>
          <w:p w:rsidR="00000000" w:rsidDel="00000000" w:rsidP="00000000" w:rsidRDefault="00000000" w:rsidRPr="00000000" w14:paraId="000003D9">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1049</w:t>
            </w:r>
          </w:p>
        </w:tc>
        <w:tc>
          <w:tcPr>
            <w:tcBorders>
              <w:top w:color="000000" w:space="0" w:sz="0" w:val="nil"/>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3DA">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4,22</w:t>
            </w:r>
          </w:p>
        </w:tc>
        <w:tc>
          <w:tcPr>
            <w:tcBorders>
              <w:top w:color="000000" w:space="0" w:sz="0" w:val="nil"/>
              <w:left w:color="000000" w:space="0" w:sz="4" w:val="single"/>
              <w:bottom w:color="000000" w:space="0" w:sz="0" w:val="nil"/>
              <w:right w:color="000000" w:space="0" w:sz="0" w:val="nil"/>
            </w:tcBorders>
            <w:shd w:fill="ffffff" w:val="clear"/>
            <w:vAlign w:val="center"/>
          </w:tcPr>
          <w:p w:rsidR="00000000" w:rsidDel="00000000" w:rsidP="00000000" w:rsidRDefault="00000000" w:rsidRPr="00000000" w14:paraId="000003DB">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9</w:t>
            </w:r>
          </w:p>
        </w:tc>
        <w:tc>
          <w:tcPr>
            <w:tcBorders>
              <w:top w:color="000000" w:space="0" w:sz="0" w:val="nil"/>
              <w:left w:color="000000" w:space="0" w:sz="0" w:val="nil"/>
              <w:bottom w:color="000000" w:space="0" w:sz="0" w:val="nil"/>
              <w:right w:color="000000" w:space="0" w:sz="4" w:val="single"/>
            </w:tcBorders>
            <w:shd w:fill="ffffff" w:val="clear"/>
            <w:vAlign w:val="center"/>
          </w:tcPr>
          <w:p w:rsidR="00000000" w:rsidDel="00000000" w:rsidP="00000000" w:rsidRDefault="00000000" w:rsidRPr="00000000" w14:paraId="000003DC">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0,04</w:t>
            </w:r>
          </w:p>
        </w:tc>
        <w:tc>
          <w:tcPr>
            <w:tcBorders>
              <w:top w:color="000000" w:space="0" w:sz="0" w:val="nil"/>
              <w:left w:color="000000" w:space="0" w:sz="4" w:val="single"/>
              <w:bottom w:color="000000" w:space="0" w:sz="0" w:val="nil"/>
              <w:right w:color="000000" w:space="0" w:sz="0" w:val="nil"/>
            </w:tcBorders>
            <w:shd w:fill="ffffff" w:val="clear"/>
            <w:vAlign w:val="center"/>
          </w:tcPr>
          <w:p w:rsidR="00000000" w:rsidDel="00000000" w:rsidP="00000000" w:rsidRDefault="00000000" w:rsidRPr="00000000" w14:paraId="000003DD">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127</w:t>
            </w:r>
          </w:p>
        </w:tc>
        <w:tc>
          <w:tcPr>
            <w:tcBorders>
              <w:top w:color="000000" w:space="0" w:sz="0" w:val="nil"/>
              <w:left w:color="000000" w:space="0" w:sz="0" w:val="nil"/>
              <w:bottom w:color="000000" w:space="0" w:sz="0" w:val="nil"/>
              <w:right w:color="000000" w:space="0" w:sz="4" w:val="single"/>
            </w:tcBorders>
            <w:shd w:fill="ffffff" w:val="clear"/>
            <w:vAlign w:val="center"/>
          </w:tcPr>
          <w:p w:rsidR="00000000" w:rsidDel="00000000" w:rsidP="00000000" w:rsidRDefault="00000000" w:rsidRPr="00000000" w14:paraId="000003DE">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0,51</w:t>
            </w:r>
          </w:p>
        </w:tc>
        <w:tc>
          <w:tcPr>
            <w:tcBorders>
              <w:top w:color="000000" w:space="0" w:sz="0" w:val="nil"/>
              <w:left w:color="000000" w:space="0" w:sz="4" w:val="single"/>
              <w:bottom w:color="000000" w:space="0" w:sz="0" w:val="nil"/>
              <w:right w:color="000000" w:space="0" w:sz="0" w:val="nil"/>
            </w:tcBorders>
            <w:shd w:fill="ffffff" w:val="clear"/>
            <w:vAlign w:val="center"/>
          </w:tcPr>
          <w:p w:rsidR="00000000" w:rsidDel="00000000" w:rsidP="00000000" w:rsidRDefault="00000000" w:rsidRPr="00000000" w14:paraId="000003DF">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24836</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3E0">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97,69</w:t>
            </w:r>
          </w:p>
        </w:tc>
      </w:tr>
      <w:tr>
        <w:trPr>
          <w:cantSplit w:val="0"/>
          <w:trHeight w:val="316"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3E1">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Herbívoro</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3E2">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47</w:t>
            </w:r>
          </w:p>
        </w:tc>
        <w:tc>
          <w:tcPr>
            <w:tcBorders>
              <w:top w:color="000000" w:space="0" w:sz="0" w:val="nil"/>
              <w:left w:color="000000" w:space="0" w:sz="0" w:val="nil"/>
              <w:bottom w:color="000000" w:space="0" w:sz="0" w:val="nil"/>
              <w:right w:color="000000" w:space="0" w:sz="4" w:val="single"/>
            </w:tcBorders>
            <w:shd w:fill="ffffff" w:val="clear"/>
            <w:vAlign w:val="center"/>
          </w:tcPr>
          <w:p w:rsidR="00000000" w:rsidDel="00000000" w:rsidP="00000000" w:rsidRDefault="00000000" w:rsidRPr="00000000" w14:paraId="000003E3">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39,83</w:t>
            </w:r>
          </w:p>
        </w:tc>
        <w:tc>
          <w:tcPr>
            <w:tcBorders>
              <w:top w:color="000000" w:space="0" w:sz="0" w:val="nil"/>
              <w:left w:color="000000" w:space="0" w:sz="4" w:val="single"/>
              <w:bottom w:color="000000" w:space="0" w:sz="0" w:val="nil"/>
              <w:right w:color="000000" w:space="0" w:sz="0" w:val="nil"/>
            </w:tcBorders>
            <w:shd w:fill="ffffff" w:val="clear"/>
            <w:vAlign w:val="center"/>
          </w:tcPr>
          <w:p w:rsidR="00000000" w:rsidDel="00000000" w:rsidP="00000000" w:rsidRDefault="00000000" w:rsidRPr="00000000" w14:paraId="000003E4">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45</w:t>
            </w:r>
          </w:p>
        </w:tc>
        <w:tc>
          <w:tcPr>
            <w:tcBorders>
              <w:top w:color="000000" w:space="0" w:sz="0" w:val="nil"/>
              <w:left w:color="000000" w:space="0" w:sz="0" w:val="nil"/>
              <w:bottom w:color="000000" w:space="0" w:sz="0" w:val="nil"/>
              <w:right w:color="000000" w:space="0" w:sz="4" w:val="single"/>
            </w:tcBorders>
            <w:shd w:fill="ffffff" w:val="clear"/>
            <w:vAlign w:val="center"/>
          </w:tcPr>
          <w:p w:rsidR="00000000" w:rsidDel="00000000" w:rsidP="00000000" w:rsidRDefault="00000000" w:rsidRPr="00000000" w14:paraId="000003E5">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38,14</w:t>
            </w:r>
          </w:p>
        </w:tc>
        <w:tc>
          <w:tcPr>
            <w:tcBorders>
              <w:top w:color="000000" w:space="0" w:sz="0" w:val="nil"/>
              <w:left w:color="000000" w:space="0" w:sz="4" w:val="single"/>
              <w:bottom w:color="000000" w:space="0" w:sz="0" w:val="nil"/>
              <w:right w:color="000000" w:space="0" w:sz="0" w:val="nil"/>
            </w:tcBorders>
            <w:shd w:fill="auto" w:val="clear"/>
            <w:vAlign w:val="center"/>
          </w:tcPr>
          <w:p w:rsidR="00000000" w:rsidDel="00000000" w:rsidP="00000000" w:rsidRDefault="00000000" w:rsidRPr="00000000" w14:paraId="000003E6">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21</w:t>
            </w:r>
          </w:p>
        </w:tc>
        <w:tc>
          <w:tcPr>
            <w:tcBorders>
              <w:top w:color="000000" w:space="0" w:sz="0" w:val="nil"/>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3E7">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17,80</w:t>
            </w:r>
          </w:p>
        </w:tc>
        <w:tc>
          <w:tcPr>
            <w:tcBorders>
              <w:top w:color="000000" w:space="0" w:sz="0" w:val="nil"/>
              <w:left w:color="000000" w:space="0" w:sz="4" w:val="single"/>
              <w:bottom w:color="000000" w:space="0" w:sz="0" w:val="nil"/>
              <w:right w:color="000000" w:space="0" w:sz="0" w:val="nil"/>
            </w:tcBorders>
            <w:shd w:fill="ffffff" w:val="clear"/>
            <w:vAlign w:val="center"/>
          </w:tcPr>
          <w:p w:rsidR="00000000" w:rsidDel="00000000" w:rsidP="00000000" w:rsidRDefault="00000000" w:rsidRPr="00000000" w14:paraId="000003E8">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4" w:val="single"/>
            </w:tcBorders>
            <w:shd w:fill="ffffff" w:val="clear"/>
            <w:vAlign w:val="center"/>
          </w:tcPr>
          <w:p w:rsidR="00000000" w:rsidDel="00000000" w:rsidP="00000000" w:rsidRDefault="00000000" w:rsidRPr="00000000" w14:paraId="000003E9">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0,00</w:t>
            </w:r>
          </w:p>
        </w:tc>
        <w:tc>
          <w:tcPr>
            <w:tcBorders>
              <w:top w:color="000000" w:space="0" w:sz="0" w:val="nil"/>
              <w:left w:color="000000" w:space="0" w:sz="4" w:val="single"/>
              <w:bottom w:color="000000" w:space="0" w:sz="0" w:val="nil"/>
              <w:right w:color="000000" w:space="0" w:sz="0" w:val="nil"/>
            </w:tcBorders>
            <w:shd w:fill="ffffff" w:val="clear"/>
            <w:vAlign w:val="center"/>
          </w:tcPr>
          <w:p w:rsidR="00000000" w:rsidDel="00000000" w:rsidP="00000000" w:rsidRDefault="00000000" w:rsidRPr="00000000" w14:paraId="000003EA">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5</w:t>
            </w:r>
          </w:p>
        </w:tc>
        <w:tc>
          <w:tcPr>
            <w:tcBorders>
              <w:top w:color="000000" w:space="0" w:sz="0" w:val="nil"/>
              <w:left w:color="000000" w:space="0" w:sz="0" w:val="nil"/>
              <w:bottom w:color="000000" w:space="0" w:sz="0" w:val="nil"/>
              <w:right w:color="000000" w:space="0" w:sz="4" w:val="single"/>
            </w:tcBorders>
            <w:shd w:fill="ffffff" w:val="clear"/>
            <w:vAlign w:val="center"/>
          </w:tcPr>
          <w:p w:rsidR="00000000" w:rsidDel="00000000" w:rsidP="00000000" w:rsidRDefault="00000000" w:rsidRPr="00000000" w14:paraId="000003EB">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4,24</w:t>
            </w:r>
          </w:p>
        </w:tc>
        <w:tc>
          <w:tcPr>
            <w:tcBorders>
              <w:top w:color="000000" w:space="0" w:sz="0" w:val="nil"/>
              <w:left w:color="000000" w:space="0" w:sz="4" w:val="single"/>
              <w:bottom w:color="000000" w:space="0" w:sz="0" w:val="nil"/>
              <w:right w:color="000000" w:space="0" w:sz="0" w:val="nil"/>
            </w:tcBorders>
            <w:shd w:fill="ffffff" w:val="clear"/>
            <w:vAlign w:val="center"/>
          </w:tcPr>
          <w:p w:rsidR="00000000" w:rsidDel="00000000" w:rsidP="00000000" w:rsidRDefault="00000000" w:rsidRPr="00000000" w14:paraId="000003EC">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118</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3ED">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0,46</w:t>
            </w:r>
          </w:p>
        </w:tc>
      </w:tr>
      <w:tr>
        <w:trPr>
          <w:cantSplit w:val="0"/>
          <w:trHeight w:val="316" w:hRule="atLeast"/>
          <w:tblHeader w:val="0"/>
        </w:trPr>
        <w:tc>
          <w:tcPr>
            <w:tcBorders>
              <w:top w:color="000000" w:space="0" w:sz="0" w:val="nil"/>
              <w:left w:color="000000" w:space="0" w:sz="0" w:val="nil"/>
              <w:right w:color="000000" w:space="0" w:sz="0" w:val="nil"/>
            </w:tcBorders>
            <w:shd w:fill="ffffff" w:val="clear"/>
            <w:vAlign w:val="center"/>
          </w:tcPr>
          <w:p w:rsidR="00000000" w:rsidDel="00000000" w:rsidP="00000000" w:rsidRDefault="00000000" w:rsidRPr="00000000" w14:paraId="000003EE">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Silvestre</w:t>
            </w:r>
          </w:p>
        </w:tc>
        <w:tc>
          <w:tcPr>
            <w:tcBorders>
              <w:top w:color="000000" w:space="0" w:sz="0" w:val="nil"/>
              <w:left w:color="000000" w:space="0" w:sz="0" w:val="nil"/>
              <w:right w:color="000000" w:space="0" w:sz="0" w:val="nil"/>
            </w:tcBorders>
            <w:shd w:fill="ffffff" w:val="clear"/>
            <w:vAlign w:val="center"/>
          </w:tcPr>
          <w:p w:rsidR="00000000" w:rsidDel="00000000" w:rsidP="00000000" w:rsidRDefault="00000000" w:rsidRPr="00000000" w14:paraId="000003EF">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21</w:t>
            </w:r>
          </w:p>
        </w:tc>
        <w:tc>
          <w:tcPr>
            <w:tcBorders>
              <w:top w:color="000000" w:space="0" w:sz="0" w:val="nil"/>
              <w:left w:color="000000" w:space="0" w:sz="0" w:val="nil"/>
              <w:right w:color="000000" w:space="0" w:sz="4" w:val="single"/>
            </w:tcBorders>
            <w:shd w:fill="ffffff" w:val="clear"/>
            <w:vAlign w:val="center"/>
          </w:tcPr>
          <w:p w:rsidR="00000000" w:rsidDel="00000000" w:rsidP="00000000" w:rsidRDefault="00000000" w:rsidRPr="00000000" w14:paraId="000003F0">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4,69</w:t>
            </w:r>
          </w:p>
        </w:tc>
        <w:tc>
          <w:tcPr>
            <w:tcBorders>
              <w:top w:color="000000" w:space="0" w:sz="0" w:val="nil"/>
              <w:left w:color="000000" w:space="0" w:sz="4" w:val="single"/>
              <w:right w:color="000000" w:space="0" w:sz="0" w:val="nil"/>
            </w:tcBorders>
            <w:shd w:fill="ffffff" w:val="clear"/>
            <w:vAlign w:val="center"/>
          </w:tcPr>
          <w:p w:rsidR="00000000" w:rsidDel="00000000" w:rsidP="00000000" w:rsidRDefault="00000000" w:rsidRPr="00000000" w14:paraId="000003F1">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102</w:t>
            </w:r>
          </w:p>
        </w:tc>
        <w:tc>
          <w:tcPr>
            <w:tcBorders>
              <w:top w:color="000000" w:space="0" w:sz="0" w:val="nil"/>
              <w:left w:color="000000" w:space="0" w:sz="0" w:val="nil"/>
              <w:right w:color="000000" w:space="0" w:sz="4" w:val="single"/>
            </w:tcBorders>
            <w:shd w:fill="ffffff" w:val="clear"/>
            <w:vAlign w:val="center"/>
          </w:tcPr>
          <w:p w:rsidR="00000000" w:rsidDel="00000000" w:rsidP="00000000" w:rsidRDefault="00000000" w:rsidRPr="00000000" w14:paraId="000003F2">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22,77</w:t>
            </w:r>
          </w:p>
        </w:tc>
        <w:tc>
          <w:tcPr>
            <w:tcBorders>
              <w:top w:color="000000" w:space="0" w:sz="0" w:val="nil"/>
              <w:left w:color="000000" w:space="0" w:sz="4" w:val="single"/>
              <w:right w:color="000000" w:space="0" w:sz="0" w:val="nil"/>
            </w:tcBorders>
            <w:shd w:fill="auto" w:val="clear"/>
            <w:vAlign w:val="center"/>
          </w:tcPr>
          <w:p w:rsidR="00000000" w:rsidDel="00000000" w:rsidP="00000000" w:rsidRDefault="00000000" w:rsidRPr="00000000" w14:paraId="000003F3">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316</w:t>
            </w:r>
          </w:p>
        </w:tc>
        <w:tc>
          <w:tcPr>
            <w:tcBorders>
              <w:top w:color="000000" w:space="0" w:sz="0" w:val="nil"/>
              <w:left w:color="000000" w:space="0" w:sz="0" w:val="nil"/>
              <w:right w:color="000000" w:space="0" w:sz="4" w:val="single"/>
            </w:tcBorders>
            <w:shd w:fill="auto" w:val="clear"/>
            <w:vAlign w:val="center"/>
          </w:tcPr>
          <w:p w:rsidR="00000000" w:rsidDel="00000000" w:rsidP="00000000" w:rsidRDefault="00000000" w:rsidRPr="00000000" w14:paraId="000003F4">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70,54</w:t>
            </w:r>
          </w:p>
        </w:tc>
        <w:tc>
          <w:tcPr>
            <w:tcBorders>
              <w:top w:color="000000" w:space="0" w:sz="0" w:val="nil"/>
              <w:left w:color="000000" w:space="0" w:sz="4" w:val="single"/>
              <w:right w:color="000000" w:space="0" w:sz="0" w:val="nil"/>
            </w:tcBorders>
            <w:shd w:fill="ffffff" w:val="clear"/>
            <w:vAlign w:val="center"/>
          </w:tcPr>
          <w:p w:rsidR="00000000" w:rsidDel="00000000" w:rsidP="00000000" w:rsidRDefault="00000000" w:rsidRPr="00000000" w14:paraId="000003F5">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w:t>
            </w:r>
          </w:p>
        </w:tc>
        <w:tc>
          <w:tcPr>
            <w:tcBorders>
              <w:top w:color="000000" w:space="0" w:sz="0" w:val="nil"/>
              <w:left w:color="000000" w:space="0" w:sz="0" w:val="nil"/>
              <w:right w:color="000000" w:space="0" w:sz="4" w:val="single"/>
            </w:tcBorders>
            <w:shd w:fill="ffffff" w:val="clear"/>
            <w:vAlign w:val="center"/>
          </w:tcPr>
          <w:p w:rsidR="00000000" w:rsidDel="00000000" w:rsidP="00000000" w:rsidRDefault="00000000" w:rsidRPr="00000000" w14:paraId="000003F6">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0,67</w:t>
            </w:r>
          </w:p>
        </w:tc>
        <w:tc>
          <w:tcPr>
            <w:tcBorders>
              <w:top w:color="000000" w:space="0" w:sz="0" w:val="nil"/>
              <w:left w:color="000000" w:space="0" w:sz="4" w:val="single"/>
              <w:right w:color="000000" w:space="0" w:sz="0" w:val="nil"/>
            </w:tcBorders>
            <w:shd w:fill="ffffff" w:val="clear"/>
            <w:vAlign w:val="center"/>
          </w:tcPr>
          <w:p w:rsidR="00000000" w:rsidDel="00000000" w:rsidP="00000000" w:rsidRDefault="00000000" w:rsidRPr="00000000" w14:paraId="000003F7">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6</w:t>
            </w:r>
          </w:p>
        </w:tc>
        <w:tc>
          <w:tcPr>
            <w:tcBorders>
              <w:top w:color="000000" w:space="0" w:sz="0" w:val="nil"/>
              <w:left w:color="000000" w:space="0" w:sz="0" w:val="nil"/>
              <w:right w:color="000000" w:space="0" w:sz="4" w:val="single"/>
            </w:tcBorders>
            <w:shd w:fill="ffffff" w:val="clear"/>
            <w:vAlign w:val="center"/>
          </w:tcPr>
          <w:p w:rsidR="00000000" w:rsidDel="00000000" w:rsidP="00000000" w:rsidRDefault="00000000" w:rsidRPr="00000000" w14:paraId="000003F8">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1,34</w:t>
            </w:r>
          </w:p>
        </w:tc>
        <w:tc>
          <w:tcPr>
            <w:tcBorders>
              <w:top w:color="000000" w:space="0" w:sz="0" w:val="nil"/>
              <w:left w:color="000000" w:space="0" w:sz="4" w:val="single"/>
              <w:right w:color="000000" w:space="0" w:sz="0" w:val="nil"/>
            </w:tcBorders>
            <w:shd w:fill="ffffff" w:val="clear"/>
            <w:vAlign w:val="center"/>
          </w:tcPr>
          <w:p w:rsidR="00000000" w:rsidDel="00000000" w:rsidP="00000000" w:rsidRDefault="00000000" w:rsidRPr="00000000" w14:paraId="000003F9">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448</w:t>
            </w:r>
          </w:p>
        </w:tc>
        <w:tc>
          <w:tcPr>
            <w:tcBorders>
              <w:top w:color="000000" w:space="0" w:sz="0" w:val="nil"/>
              <w:left w:color="000000" w:space="0" w:sz="0" w:val="nil"/>
              <w:right w:color="000000" w:space="0" w:sz="0" w:val="nil"/>
            </w:tcBorders>
            <w:shd w:fill="ffffff" w:val="clear"/>
            <w:vAlign w:val="center"/>
          </w:tcPr>
          <w:p w:rsidR="00000000" w:rsidDel="00000000" w:rsidP="00000000" w:rsidRDefault="00000000" w:rsidRPr="00000000" w14:paraId="000003FA">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100,00</w:t>
            </w:r>
          </w:p>
        </w:tc>
      </w:tr>
      <w:tr>
        <w:trPr>
          <w:cantSplit w:val="0"/>
          <w:trHeight w:val="316" w:hRule="atLeast"/>
          <w:tblHeader w:val="0"/>
        </w:trPr>
        <w:tc>
          <w:tcPr>
            <w:tcBorders>
              <w:top w:color="000000" w:space="0" w:sz="0" w:val="nil"/>
              <w:left w:color="000000" w:space="0" w:sz="0" w:val="nil"/>
              <w:bottom w:color="000000" w:space="0" w:sz="4" w:val="single"/>
              <w:right w:color="000000" w:space="0" w:sz="0" w:val="nil"/>
            </w:tcBorders>
            <w:shd w:fill="ffffff" w:val="clear"/>
            <w:vAlign w:val="center"/>
          </w:tcPr>
          <w:p w:rsidR="00000000" w:rsidDel="00000000" w:rsidP="00000000" w:rsidRDefault="00000000" w:rsidRPr="00000000" w14:paraId="000003FB">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Sinantrópico</w:t>
            </w:r>
          </w:p>
        </w:tc>
        <w:tc>
          <w:tcPr>
            <w:tcBorders>
              <w:top w:color="000000" w:space="0" w:sz="0" w:val="nil"/>
              <w:left w:color="000000" w:space="0" w:sz="0" w:val="nil"/>
              <w:bottom w:color="000000" w:space="0" w:sz="4" w:val="single"/>
              <w:right w:color="000000" w:space="0" w:sz="0" w:val="nil"/>
            </w:tcBorders>
            <w:shd w:fill="ffffff" w:val="clear"/>
            <w:vAlign w:val="center"/>
          </w:tcPr>
          <w:p w:rsidR="00000000" w:rsidDel="00000000" w:rsidP="00000000" w:rsidRDefault="00000000" w:rsidRPr="00000000" w14:paraId="000003FC">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6</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FD">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30,00</w:t>
            </w:r>
          </w:p>
        </w:tc>
        <w:tc>
          <w:tcPr>
            <w:tcBorders>
              <w:top w:color="000000" w:space="0" w:sz="0" w:val="nil"/>
              <w:left w:color="000000" w:space="0" w:sz="4" w:val="single"/>
              <w:bottom w:color="000000" w:space="0" w:sz="4" w:val="single"/>
              <w:right w:color="000000" w:space="0" w:sz="0" w:val="nil"/>
            </w:tcBorders>
            <w:shd w:fill="ffffff" w:val="clear"/>
            <w:vAlign w:val="center"/>
          </w:tcPr>
          <w:p w:rsidR="00000000" w:rsidDel="00000000" w:rsidP="00000000" w:rsidRDefault="00000000" w:rsidRPr="00000000" w14:paraId="000003FE">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4</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FF">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20,00</w:t>
            </w:r>
          </w:p>
        </w:tc>
        <w:tc>
          <w:tcPr>
            <w:tcBorders>
              <w:top w:color="000000" w:space="0" w:sz="0" w:val="nil"/>
              <w:left w:color="000000" w:space="0" w:sz="4" w:val="single"/>
              <w:bottom w:color="000000" w:space="0" w:sz="4" w:val="single"/>
              <w:right w:color="000000" w:space="0" w:sz="0" w:val="nil"/>
            </w:tcBorders>
            <w:shd w:fill="auto" w:val="clear"/>
            <w:vAlign w:val="center"/>
          </w:tcPr>
          <w:p w:rsidR="00000000" w:rsidDel="00000000" w:rsidP="00000000" w:rsidRDefault="00000000" w:rsidRPr="00000000" w14:paraId="00000400">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01">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45,00</w:t>
            </w:r>
          </w:p>
        </w:tc>
        <w:tc>
          <w:tcPr>
            <w:tcBorders>
              <w:top w:color="000000" w:space="0" w:sz="0" w:val="nil"/>
              <w:left w:color="000000" w:space="0" w:sz="4" w:val="single"/>
              <w:bottom w:color="000000" w:space="0" w:sz="4" w:val="single"/>
              <w:right w:color="000000" w:space="0" w:sz="0" w:val="nil"/>
            </w:tcBorders>
            <w:shd w:fill="ffffff" w:val="clear"/>
            <w:vAlign w:val="center"/>
          </w:tcPr>
          <w:p w:rsidR="00000000" w:rsidDel="00000000" w:rsidP="00000000" w:rsidRDefault="00000000" w:rsidRPr="00000000" w14:paraId="00000402">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03">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0,00</w:t>
            </w:r>
          </w:p>
        </w:tc>
        <w:tc>
          <w:tcPr>
            <w:tcBorders>
              <w:top w:color="000000" w:space="0" w:sz="0" w:val="nil"/>
              <w:left w:color="000000" w:space="0" w:sz="4" w:val="single"/>
              <w:bottom w:color="000000" w:space="0" w:sz="4" w:val="single"/>
              <w:right w:color="000000" w:space="0" w:sz="0" w:val="nil"/>
            </w:tcBorders>
            <w:shd w:fill="ffffff" w:val="clear"/>
            <w:vAlign w:val="center"/>
          </w:tcPr>
          <w:p w:rsidR="00000000" w:rsidDel="00000000" w:rsidP="00000000" w:rsidRDefault="00000000" w:rsidRPr="00000000" w14:paraId="00000404">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05">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5,00</w:t>
            </w:r>
          </w:p>
        </w:tc>
        <w:tc>
          <w:tcPr>
            <w:tcBorders>
              <w:top w:color="000000" w:space="0" w:sz="0" w:val="nil"/>
              <w:left w:color="000000" w:space="0" w:sz="4" w:val="single"/>
              <w:bottom w:color="000000" w:space="0" w:sz="4" w:val="single"/>
              <w:right w:color="000000" w:space="0" w:sz="0" w:val="nil"/>
            </w:tcBorders>
            <w:shd w:fill="ffffff" w:val="clear"/>
            <w:vAlign w:val="center"/>
          </w:tcPr>
          <w:p w:rsidR="00000000" w:rsidDel="00000000" w:rsidP="00000000" w:rsidRDefault="00000000" w:rsidRPr="00000000" w14:paraId="00000406">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20</w:t>
            </w:r>
          </w:p>
        </w:tc>
        <w:tc>
          <w:tcPr>
            <w:tcBorders>
              <w:top w:color="000000" w:space="0" w:sz="0" w:val="nil"/>
              <w:left w:color="000000" w:space="0" w:sz="0" w:val="nil"/>
              <w:bottom w:color="000000" w:space="0" w:sz="4" w:val="single"/>
              <w:right w:color="000000" w:space="0" w:sz="0" w:val="nil"/>
            </w:tcBorders>
            <w:shd w:fill="ffffff" w:val="clear"/>
            <w:vAlign w:val="center"/>
          </w:tcPr>
          <w:p w:rsidR="00000000" w:rsidDel="00000000" w:rsidP="00000000" w:rsidRDefault="00000000" w:rsidRPr="00000000" w14:paraId="00000407">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0,08</w:t>
            </w:r>
          </w:p>
        </w:tc>
      </w:tr>
      <w:tr>
        <w:trPr>
          <w:cantSplit w:val="0"/>
          <w:trHeight w:val="316" w:hRule="atLeast"/>
          <w:tblHeader w:val="0"/>
        </w:trPr>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408">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Total</w:t>
            </w:r>
          </w:p>
        </w:tc>
        <w:tc>
          <w:tcPr>
            <w:tcBorders>
              <w:top w:color="000000" w:space="0" w:sz="4" w:val="single"/>
              <w:left w:color="000000" w:space="0" w:sz="0" w:val="nil"/>
              <w:bottom w:color="000000" w:space="0" w:sz="4" w:val="single"/>
              <w:right w:color="000000" w:space="0" w:sz="0" w:val="nil"/>
            </w:tcBorders>
            <w:shd w:fill="auto" w:val="clear"/>
          </w:tcPr>
          <w:p w:rsidR="00000000" w:rsidDel="00000000" w:rsidP="00000000" w:rsidRDefault="00000000" w:rsidRPr="00000000" w14:paraId="00000409">
            <w:pPr>
              <w:spacing w:after="0" w:line="240" w:lineRule="auto"/>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sz w:val="20"/>
                <w:szCs w:val="20"/>
                <w:rtl w:val="0"/>
              </w:rPr>
              <w:t xml:space="preserve">19294</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tcPr>
          <w:p w:rsidR="00000000" w:rsidDel="00000000" w:rsidP="00000000" w:rsidRDefault="00000000" w:rsidRPr="00000000" w14:paraId="0000040A">
            <w:pPr>
              <w:spacing w:after="0" w:line="240" w:lineRule="auto"/>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sz w:val="20"/>
                <w:szCs w:val="20"/>
                <w:rtl w:val="0"/>
              </w:rPr>
              <w:t xml:space="preserve">75,89</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shd w:fill="auto" w:val="clear"/>
          </w:tcPr>
          <w:p w:rsidR="00000000" w:rsidDel="00000000" w:rsidP="00000000" w:rsidRDefault="00000000" w:rsidRPr="00000000" w14:paraId="0000040B">
            <w:pPr>
              <w:spacing w:after="0" w:line="240" w:lineRule="auto"/>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sz w:val="20"/>
                <w:szCs w:val="20"/>
                <w:rtl w:val="0"/>
              </w:rPr>
              <w:t xml:space="preserve">4582</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tcPr>
          <w:p w:rsidR="00000000" w:rsidDel="00000000" w:rsidP="00000000" w:rsidRDefault="00000000" w:rsidRPr="00000000" w14:paraId="0000040C">
            <w:pPr>
              <w:spacing w:after="0" w:line="240" w:lineRule="auto"/>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sz w:val="20"/>
                <w:szCs w:val="20"/>
                <w:rtl w:val="0"/>
              </w:rPr>
              <w:t xml:space="preserve">18,02</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shd w:fill="auto" w:val="clear"/>
          </w:tcPr>
          <w:p w:rsidR="00000000" w:rsidDel="00000000" w:rsidP="00000000" w:rsidRDefault="00000000" w:rsidRPr="00000000" w14:paraId="0000040D">
            <w:pPr>
              <w:spacing w:after="0" w:line="240" w:lineRule="auto"/>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sz w:val="20"/>
                <w:szCs w:val="20"/>
                <w:rtl w:val="0"/>
              </w:rPr>
              <w:t xml:space="preserve">1395</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tcPr>
          <w:p w:rsidR="00000000" w:rsidDel="00000000" w:rsidP="00000000" w:rsidRDefault="00000000" w:rsidRPr="00000000" w14:paraId="0000040E">
            <w:pPr>
              <w:spacing w:after="0" w:line="240" w:lineRule="auto"/>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sz w:val="20"/>
                <w:szCs w:val="20"/>
                <w:rtl w:val="0"/>
              </w:rPr>
              <w:t xml:space="preserve">5,49</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shd w:fill="auto" w:val="clear"/>
          </w:tcPr>
          <w:p w:rsidR="00000000" w:rsidDel="00000000" w:rsidP="00000000" w:rsidRDefault="00000000" w:rsidRPr="00000000" w14:paraId="0000040F">
            <w:pPr>
              <w:spacing w:after="0" w:line="240" w:lineRule="auto"/>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sz w:val="20"/>
                <w:szCs w:val="20"/>
                <w:rtl w:val="0"/>
              </w:rPr>
              <w:t xml:space="preserve">12</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tcPr>
          <w:p w:rsidR="00000000" w:rsidDel="00000000" w:rsidP="00000000" w:rsidRDefault="00000000" w:rsidRPr="00000000" w14:paraId="00000410">
            <w:pPr>
              <w:spacing w:after="0" w:line="240" w:lineRule="auto"/>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sz w:val="20"/>
                <w:szCs w:val="20"/>
                <w:rtl w:val="0"/>
              </w:rPr>
              <w:t xml:space="preserve">0,05</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shd w:fill="auto" w:val="clear"/>
          </w:tcPr>
          <w:p w:rsidR="00000000" w:rsidDel="00000000" w:rsidP="00000000" w:rsidRDefault="00000000" w:rsidRPr="00000000" w14:paraId="00000411">
            <w:pPr>
              <w:spacing w:after="0" w:line="240" w:lineRule="auto"/>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sz w:val="20"/>
                <w:szCs w:val="20"/>
                <w:rtl w:val="0"/>
              </w:rPr>
              <w:t xml:space="preserve">139</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tcPr>
          <w:p w:rsidR="00000000" w:rsidDel="00000000" w:rsidP="00000000" w:rsidRDefault="00000000" w:rsidRPr="00000000" w14:paraId="00000412">
            <w:pPr>
              <w:spacing w:after="0" w:line="240" w:lineRule="auto"/>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sz w:val="20"/>
                <w:szCs w:val="20"/>
                <w:rtl w:val="0"/>
              </w:rPr>
              <w:t xml:space="preserve">0,55</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shd w:fill="auto" w:val="clear"/>
          </w:tcPr>
          <w:p w:rsidR="00000000" w:rsidDel="00000000" w:rsidP="00000000" w:rsidRDefault="00000000" w:rsidRPr="00000000" w14:paraId="00000413">
            <w:pPr>
              <w:spacing w:after="0" w:line="240" w:lineRule="auto"/>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sz w:val="20"/>
                <w:szCs w:val="20"/>
                <w:rtl w:val="0"/>
              </w:rPr>
              <w:t xml:space="preserve">25422</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tcPr>
          <w:p w:rsidR="00000000" w:rsidDel="00000000" w:rsidP="00000000" w:rsidRDefault="00000000" w:rsidRPr="00000000" w14:paraId="00000414">
            <w:pPr>
              <w:spacing w:after="0" w:line="240" w:lineRule="auto"/>
              <w:jc w:val="right"/>
              <w:rPr>
                <w:rFonts w:ascii="Times New Roman" w:cs="Times New Roman" w:eastAsia="Times New Roman" w:hAnsi="Times New Roman"/>
                <w:b w:val="1"/>
                <w:color w:val="000000"/>
                <w:sz w:val="20"/>
                <w:szCs w:val="20"/>
              </w:rPr>
            </w:pPr>
            <w:r w:rsidDel="00000000" w:rsidR="00000000" w:rsidRPr="00000000">
              <w:rPr>
                <w:rtl w:val="0"/>
              </w:rPr>
            </w:r>
          </w:p>
        </w:tc>
      </w:tr>
    </w:tbl>
    <w:p w:rsidR="00000000" w:rsidDel="00000000" w:rsidP="00000000" w:rsidRDefault="00000000" w:rsidRPr="00000000" w14:paraId="000004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1134"/>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38" w:w="11906" w:orient="portrait"/>
          <w:pgMar w:bottom="1417" w:top="1417" w:left="1701" w:right="1701" w:header="397" w:footer="680"/>
          <w:titlePg w:val="1"/>
        </w:sectPr>
      </w:pPr>
      <w:r w:rsidDel="00000000" w:rsidR="00000000" w:rsidRPr="00000000">
        <w:rPr>
          <w:rtl w:val="0"/>
        </w:rPr>
      </w:r>
    </w:p>
    <w:p w:rsidR="00000000" w:rsidDel="00000000" w:rsidP="00000000" w:rsidRDefault="00000000" w:rsidRPr="00000000" w14:paraId="000004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60" w:before="120" w:line="240" w:lineRule="auto"/>
        <w:ind w:left="1134" w:right="0" w:hanging="1134"/>
        <w:jc w:val="both"/>
        <w:rPr>
          <w:rFonts w:ascii="Times New Roman" w:cs="Times New Roman" w:eastAsia="Times New Roman" w:hAnsi="Times New Roman"/>
          <w:b w:val="0"/>
          <w:i w:val="0"/>
          <w:smallCaps w:val="0"/>
          <w:strike w:val="0"/>
          <w:color w:val="000000"/>
          <w:sz w:val="22"/>
          <w:szCs w:val="22"/>
          <w:u w:val="none"/>
          <w:shd w:fill="auto" w:val="clear"/>
          <w:vertAlign w:val="baseline"/>
        </w:rPr>
      </w:pPr>
      <w:bookmarkStart w:colFirst="0" w:colLast="0" w:name="_heading=h.nmf14n" w:id="47"/>
      <w:bookmarkEnd w:id="47"/>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Figura 10.</w:t>
        <w:tab/>
        <w:t xml:space="preserve">Classificação de 24.323 indicações de tratamentos a agravos a humanos por animais notificados em Feira de Santana, BA. 2008-2019.</w:t>
      </w:r>
    </w:p>
    <w:p w:rsidR="00000000" w:rsidDel="00000000" w:rsidP="00000000" w:rsidRDefault="00000000" w:rsidRPr="00000000" w14:paraId="00000417">
      <w:pPr>
        <w:rPr/>
      </w:pPr>
      <w:r w:rsidDel="00000000" w:rsidR="00000000" w:rsidRPr="00000000">
        <w:rPr/>
        <w:drawing>
          <wp:inline distB="0" distT="0" distL="0" distR="0">
            <wp:extent cx="9732537" cy="4926034"/>
            <wp:effectExtent b="0" l="0" r="0" t="0"/>
            <wp:docPr id="133" name="image21.png"/>
            <a:graphic>
              <a:graphicData uri="http://schemas.openxmlformats.org/drawingml/2006/picture">
                <pic:pic>
                  <pic:nvPicPr>
                    <pic:cNvPr id="0" name="image21.png"/>
                    <pic:cNvPicPr preferRelativeResize="0"/>
                  </pic:nvPicPr>
                  <pic:blipFill>
                    <a:blip r:embed="rId44"/>
                    <a:srcRect b="0" l="0" r="0" t="0"/>
                    <a:stretch>
                      <a:fillRect/>
                    </a:stretch>
                  </pic:blipFill>
                  <pic:spPr>
                    <a:xfrm>
                      <a:off x="0" y="0"/>
                      <a:ext cx="9732537" cy="4926034"/>
                    </a:xfrm>
                    <a:prstGeom prst="rect"/>
                    <a:ln/>
                  </pic:spPr>
                </pic:pic>
              </a:graphicData>
            </a:graphic>
          </wp:inline>
        </w:drawing>
      </w:r>
      <w:r w:rsidDel="00000000" w:rsidR="00000000" w:rsidRPr="00000000">
        <w:rPr>
          <w:rtl w:val="0"/>
        </w:rPr>
      </w:r>
    </w:p>
    <w:p w:rsidR="00000000" w:rsidDel="00000000" w:rsidP="00000000" w:rsidRDefault="00000000" w:rsidRPr="00000000" w14:paraId="00000418">
      <w:pPr>
        <w:rPr/>
      </w:pPr>
      <w:r w:rsidDel="00000000" w:rsidR="00000000" w:rsidRPr="00000000">
        <w:rPr>
          <w:rtl w:val="0"/>
        </w:rPr>
      </w:r>
    </w:p>
    <w:p w:rsidR="00000000" w:rsidDel="00000000" w:rsidP="00000000" w:rsidRDefault="00000000" w:rsidRPr="00000000" w14:paraId="00000419">
      <w:pPr>
        <w:jc w:val="center"/>
        <w:rPr>
          <w:sz w:val="20"/>
          <w:szCs w:val="20"/>
        </w:rPr>
        <w:sectPr>
          <w:type w:val="nextPage"/>
          <w:pgSz w:h="11906" w:w="16838" w:orient="landscape"/>
          <w:pgMar w:bottom="720" w:top="720" w:left="720" w:right="720" w:header="397" w:footer="680"/>
          <w:titlePg w:val="1"/>
        </w:sectPr>
      </w:pPr>
      <w:r w:rsidDel="00000000" w:rsidR="00000000" w:rsidRPr="00000000">
        <w:rPr>
          <w:rFonts w:ascii="Times New Roman" w:cs="Times New Roman" w:eastAsia="Times New Roman" w:hAnsi="Times New Roman"/>
          <w:sz w:val="20"/>
          <w:szCs w:val="20"/>
          <w:rtl w:val="0"/>
        </w:rPr>
        <w:t xml:space="preserve">Fonte: De autoria própria</w:t>
      </w:r>
      <w:r w:rsidDel="00000000" w:rsidR="00000000" w:rsidRPr="00000000">
        <w:rPr>
          <w:rtl w:val="0"/>
        </w:rPr>
      </w:r>
    </w:p>
    <w:p w:rsidR="00000000" w:rsidDel="00000000" w:rsidP="00000000" w:rsidRDefault="00000000" w:rsidRPr="00000000" w14:paraId="0000041A">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60" w:before="120" w:line="240" w:lineRule="auto"/>
        <w:ind w:left="1134" w:right="0" w:hanging="1134"/>
        <w:jc w:val="both"/>
        <w:rPr>
          <w:rFonts w:ascii="Times New Roman" w:cs="Times New Roman" w:eastAsia="Times New Roman" w:hAnsi="Times New Roman"/>
          <w:b w:val="0"/>
          <w:i w:val="0"/>
          <w:smallCaps w:val="0"/>
          <w:strike w:val="0"/>
          <w:color w:val="000000"/>
          <w:sz w:val="22"/>
          <w:szCs w:val="22"/>
          <w:u w:val="none"/>
          <w:shd w:fill="auto" w:val="clear"/>
          <w:vertAlign w:val="baseline"/>
        </w:rPr>
      </w:pPr>
      <w:bookmarkStart w:colFirst="0" w:colLast="0" w:name="_heading=h.37m2jsg" w:id="48"/>
      <w:bookmarkEnd w:id="48"/>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Tabela 4.</w:t>
        <w:tab/>
        <w:t xml:space="preserve">Frequência absoluta (Fi), frequência relativa (fi) de indivíduos encaminhados para tratamento antirrábico, segundo conduta profilática indicada. Feira de Santana, Bahia. 2008-2019.</w:t>
      </w:r>
    </w:p>
    <w:tbl>
      <w:tblPr>
        <w:tblStyle w:val="Table6"/>
        <w:tblW w:w="10466.000000000002" w:type="dxa"/>
        <w:jc w:val="left"/>
        <w:tblLayout w:type="fixed"/>
        <w:tblLook w:val="0400"/>
      </w:tblPr>
      <w:tblGrid>
        <w:gridCol w:w="5117"/>
        <w:gridCol w:w="1003"/>
        <w:gridCol w:w="921"/>
        <w:gridCol w:w="959"/>
        <w:gridCol w:w="856"/>
        <w:gridCol w:w="741"/>
        <w:gridCol w:w="869"/>
        <w:tblGridChange w:id="0">
          <w:tblGrid>
            <w:gridCol w:w="5117"/>
            <w:gridCol w:w="1003"/>
            <w:gridCol w:w="921"/>
            <w:gridCol w:w="959"/>
            <w:gridCol w:w="856"/>
            <w:gridCol w:w="741"/>
            <w:gridCol w:w="869"/>
          </w:tblGrid>
        </w:tblGridChange>
      </w:tblGrid>
      <w:tr>
        <w:trPr>
          <w:cantSplit w:val="0"/>
          <w:trHeight w:val="20" w:hRule="atLeast"/>
          <w:tblHeader w:val="0"/>
        </w:trPr>
        <w:tc>
          <w:tcPr>
            <w:vMerge w:val="restart"/>
            <w:tcBorders>
              <w:top w:color="000000" w:space="0" w:sz="4" w:val="single"/>
              <w:left w:color="000000" w:space="0" w:sz="0" w:val="nil"/>
              <w:right w:color="000000" w:space="0" w:sz="0" w:val="nil"/>
            </w:tcBorders>
            <w:shd w:fill="ffffff" w:val="clear"/>
            <w:vAlign w:val="center"/>
          </w:tcPr>
          <w:p w:rsidR="00000000" w:rsidDel="00000000" w:rsidP="00000000" w:rsidRDefault="00000000" w:rsidRPr="00000000" w14:paraId="0000041B">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Variáveis</w:t>
            </w:r>
          </w:p>
        </w:tc>
        <w:tc>
          <w:tcPr>
            <w:gridSpan w:val="2"/>
            <w:vMerge w:val="restart"/>
            <w:tcBorders>
              <w:top w:color="000000" w:space="0" w:sz="4" w:val="single"/>
              <w:left w:color="000000" w:space="0" w:sz="0" w:val="nil"/>
              <w:right w:color="000000" w:space="0" w:sz="0" w:val="nil"/>
            </w:tcBorders>
            <w:shd w:fill="ffffff" w:val="clear"/>
            <w:vAlign w:val="center"/>
          </w:tcPr>
          <w:p w:rsidR="00000000" w:rsidDel="00000000" w:rsidP="00000000" w:rsidRDefault="00000000" w:rsidRPr="00000000" w14:paraId="0000041C">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Adequado</w:t>
            </w:r>
          </w:p>
        </w:tc>
        <w:tc>
          <w:tcPr>
            <w:gridSpan w:val="4"/>
            <w:tcBorders>
              <w:top w:color="000000" w:space="0" w:sz="4" w:val="single"/>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41E">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Inadequado</w:t>
            </w:r>
          </w:p>
        </w:tc>
      </w:tr>
      <w:tr>
        <w:trPr>
          <w:cantSplit w:val="0"/>
          <w:trHeight w:val="20" w:hRule="atLeast"/>
          <w:tblHeader w:val="0"/>
        </w:trPr>
        <w:tc>
          <w:tcPr>
            <w:vMerge w:val="continue"/>
            <w:tcBorders>
              <w:top w:color="000000" w:space="0" w:sz="4" w:val="single"/>
              <w:left w:color="000000" w:space="0" w:sz="0" w:val="nil"/>
              <w:right w:color="000000" w:space="0" w:sz="0" w:val="nil"/>
            </w:tcBorders>
            <w:shd w:fill="ffffff" w:val="clear"/>
            <w:vAlign w:val="center"/>
          </w:tcPr>
          <w:p w:rsidR="00000000" w:rsidDel="00000000" w:rsidP="00000000" w:rsidRDefault="00000000" w:rsidRPr="00000000" w14:paraId="000004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0"/>
                <w:szCs w:val="20"/>
              </w:rPr>
            </w:pPr>
            <w:r w:rsidDel="00000000" w:rsidR="00000000" w:rsidRPr="00000000">
              <w:rPr>
                <w:rtl w:val="0"/>
              </w:rPr>
            </w:r>
          </w:p>
        </w:tc>
        <w:tc>
          <w:tcPr>
            <w:gridSpan w:val="2"/>
            <w:vMerge w:val="continue"/>
            <w:tcBorders>
              <w:top w:color="000000" w:space="0" w:sz="4" w:val="single"/>
              <w:left w:color="000000" w:space="0" w:sz="0" w:val="nil"/>
              <w:right w:color="000000" w:space="0" w:sz="0" w:val="nil"/>
            </w:tcBorders>
            <w:shd w:fill="ffffff" w:val="clear"/>
            <w:vAlign w:val="center"/>
          </w:tcPr>
          <w:p w:rsidR="00000000" w:rsidDel="00000000" w:rsidP="00000000" w:rsidRDefault="00000000" w:rsidRPr="00000000" w14:paraId="000004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0"/>
                <w:szCs w:val="20"/>
              </w:rPr>
            </w:pPr>
            <w:r w:rsidDel="00000000" w:rsidR="00000000" w:rsidRPr="00000000">
              <w:rPr>
                <w:rtl w:val="0"/>
              </w:rPr>
            </w:r>
          </w:p>
        </w:tc>
        <w:tc>
          <w:tcPr>
            <w:gridSpan w:val="2"/>
            <w:tcBorders>
              <w:top w:color="000000" w:space="0" w:sz="4" w:val="single"/>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25">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Insuficiente</w:t>
            </w:r>
          </w:p>
        </w:tc>
        <w:tc>
          <w:tcPr>
            <w:gridSpan w:val="2"/>
            <w:tcBorders>
              <w:top w:color="000000" w:space="0" w:sz="4" w:val="single"/>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27">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Excessivo</w:t>
            </w:r>
          </w:p>
        </w:tc>
      </w:tr>
      <w:tr>
        <w:trPr>
          <w:cantSplit w:val="0"/>
          <w:trHeight w:val="20" w:hRule="atLeast"/>
          <w:tblHeader w:val="0"/>
        </w:trPr>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429">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Contato Indireto (n= 70)</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42A">
            <w:pPr>
              <w:spacing w:after="0" w:line="240" w:lineRule="auto"/>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n</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42B">
            <w:pPr>
              <w:spacing w:after="0" w:line="240" w:lineRule="auto"/>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42C">
            <w:pPr>
              <w:spacing w:after="0" w:line="240" w:lineRule="auto"/>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n</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42D">
            <w:pPr>
              <w:spacing w:after="0" w:line="240" w:lineRule="auto"/>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42E">
            <w:pPr>
              <w:spacing w:after="0" w:line="240" w:lineRule="auto"/>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n</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42F">
            <w:pPr>
              <w:spacing w:after="0" w:line="240" w:lineRule="auto"/>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w:t>
            </w:r>
          </w:p>
        </w:tc>
      </w:tr>
      <w:tr>
        <w:trPr>
          <w:cantSplit w:val="0"/>
          <w:trHeight w:val="20"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430">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Dispensa de tratamento</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31">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32">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14,29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33">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34">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35">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36">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0,00</w:t>
            </w:r>
          </w:p>
        </w:tc>
      </w:tr>
      <w:tr>
        <w:trPr>
          <w:cantSplit w:val="0"/>
          <w:trHeight w:val="20"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437">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Observação do animal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38">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39">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3A">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3B">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3C">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41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3D">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58,57</w:t>
            </w:r>
          </w:p>
        </w:tc>
      </w:tr>
      <w:tr>
        <w:trPr>
          <w:cantSplit w:val="0"/>
          <w:trHeight w:val="20"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43E">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Observação e vacina</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3F">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40">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41">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42">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43">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44">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7,14</w:t>
            </w:r>
          </w:p>
        </w:tc>
      </w:tr>
      <w:tr>
        <w:trPr>
          <w:cantSplit w:val="0"/>
          <w:trHeight w:val="20"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445">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Vacina</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46">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47">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48">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49">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4A">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4B">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12,86</w:t>
            </w:r>
          </w:p>
        </w:tc>
      </w:tr>
      <w:tr>
        <w:trPr>
          <w:cantSplit w:val="0"/>
          <w:trHeight w:val="20"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44C">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Soro e vacina</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4D">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4E">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4F">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50">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51">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52">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7,14</w:t>
            </w:r>
          </w:p>
        </w:tc>
      </w:tr>
      <w:tr>
        <w:trPr>
          <w:cantSplit w:val="0"/>
          <w:trHeight w:val="20" w:hRule="atLeast"/>
          <w:tblHeader w:val="0"/>
        </w:trPr>
        <w:tc>
          <w:tcPr>
            <w:gridSpan w:val="5"/>
            <w:tcBorders>
              <w:top w:color="000000" w:space="0" w:sz="4" w:val="single"/>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453">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Acidentes leves com animais domésticos sem suspeita de raiva (n=5671) </w:t>
            </w:r>
          </w:p>
        </w:tc>
        <w:tc>
          <w:tcPr>
            <w:tcBorders>
              <w:top w:color="000000" w:space="0" w:sz="4" w:val="single"/>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458">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4" w:val="single"/>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459">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r>
      <w:tr>
        <w:trPr>
          <w:cantSplit w:val="0"/>
          <w:trHeight w:val="20"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45A">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Dispensa de tratamento</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5B">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5C">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5D">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5E">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0,25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5F">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60">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r>
      <w:tr>
        <w:trPr>
          <w:cantSplit w:val="0"/>
          <w:trHeight w:val="20"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461">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Observação do Animal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62">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5375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63">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94,78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64">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65">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66">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67">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r>
      <w:tr>
        <w:trPr>
          <w:cantSplit w:val="0"/>
          <w:trHeight w:val="20"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468">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Observação e vacina</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69">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203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6A">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3,58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6B">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6C">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6D">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6E">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r>
      <w:tr>
        <w:trPr>
          <w:cantSplit w:val="0"/>
          <w:trHeight w:val="20"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46F">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Vacina</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70">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71">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72">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73">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74">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72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75">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1,27</w:t>
            </w:r>
          </w:p>
        </w:tc>
      </w:tr>
      <w:tr>
        <w:trPr>
          <w:cantSplit w:val="0"/>
          <w:trHeight w:val="20"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476">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Soro e vacina</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77">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78">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79">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7A">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7B">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7C">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0,12</w:t>
            </w:r>
          </w:p>
        </w:tc>
      </w:tr>
      <w:tr>
        <w:trPr>
          <w:cantSplit w:val="0"/>
          <w:trHeight w:val="20" w:hRule="atLeast"/>
          <w:tblHeader w:val="0"/>
        </w:trPr>
        <w:tc>
          <w:tcPr>
            <w:gridSpan w:val="4"/>
            <w:tcBorders>
              <w:top w:color="000000" w:space="0" w:sz="4" w:val="single"/>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47D">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Acidentes leves com animais domésticos suspeitos de raiva (n=83)</w:t>
            </w:r>
          </w:p>
        </w:tc>
        <w:tc>
          <w:tcPr>
            <w:tcBorders>
              <w:top w:color="000000" w:space="0" w:sz="4" w:val="single"/>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481">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 </w:t>
            </w:r>
          </w:p>
        </w:tc>
        <w:tc>
          <w:tcPr>
            <w:tcBorders>
              <w:top w:color="000000" w:space="0" w:sz="4" w:val="single"/>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482">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 </w:t>
            </w:r>
          </w:p>
        </w:tc>
        <w:tc>
          <w:tcPr>
            <w:tcBorders>
              <w:top w:color="000000" w:space="0" w:sz="4" w:val="single"/>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483">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 </w:t>
            </w:r>
          </w:p>
        </w:tc>
      </w:tr>
      <w:tr>
        <w:trPr>
          <w:cantSplit w:val="0"/>
          <w:trHeight w:val="20"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484">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Dispensa de tratamento</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85">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86">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87">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88">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1,20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89">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8A">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r>
      <w:tr>
        <w:trPr>
          <w:cantSplit w:val="0"/>
          <w:trHeight w:val="20"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48B">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Observação do Animal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8C">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8D">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8E">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8F">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37,35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90">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91">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r>
      <w:tr>
        <w:trPr>
          <w:cantSplit w:val="0"/>
          <w:trHeight w:val="20"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492">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Observação e vacina</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93">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94">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9,64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95">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96">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97">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98">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r>
      <w:tr>
        <w:trPr>
          <w:cantSplit w:val="0"/>
          <w:trHeight w:val="20"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499">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Vacina</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9A">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9B">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44,58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9C">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9D">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9E">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9F">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r>
      <w:tr>
        <w:trPr>
          <w:cantSplit w:val="0"/>
          <w:trHeight w:val="20"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4A0">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Soro e vacina</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A1">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A2">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A3">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A4">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A5">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A6">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7,23</w:t>
            </w:r>
          </w:p>
        </w:tc>
      </w:tr>
      <w:tr>
        <w:trPr>
          <w:cantSplit w:val="0"/>
          <w:trHeight w:val="20" w:hRule="atLeast"/>
          <w:tblHeader w:val="0"/>
        </w:trPr>
        <w:tc>
          <w:tcPr>
            <w:gridSpan w:val="6"/>
            <w:tcBorders>
              <w:top w:color="000000" w:space="0" w:sz="4" w:val="single"/>
              <w:left w:color="000000" w:space="0" w:sz="0" w:val="nil"/>
              <w:bottom w:color="000000" w:space="0" w:sz="4" w:val="single"/>
              <w:right w:color="000000" w:space="0" w:sz="0" w:val="nil"/>
            </w:tcBorders>
            <w:shd w:fill="ffffff" w:val="clear"/>
            <w:vAlign w:val="center"/>
          </w:tcPr>
          <w:p w:rsidR="00000000" w:rsidDel="00000000" w:rsidP="00000000" w:rsidRDefault="00000000" w:rsidRPr="00000000" w14:paraId="000004A7">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Acidentes leves com animais domésticos raivosos, desaparecidos ou mortos (n= 766)</w:t>
            </w:r>
          </w:p>
        </w:tc>
        <w:tc>
          <w:tcPr>
            <w:tcBorders>
              <w:top w:color="000000" w:space="0" w:sz="4" w:val="single"/>
              <w:left w:color="000000" w:space="0" w:sz="0" w:val="nil"/>
              <w:bottom w:color="000000" w:space="0" w:sz="4" w:val="single"/>
              <w:right w:color="000000" w:space="0" w:sz="0" w:val="nil"/>
            </w:tcBorders>
            <w:shd w:fill="ffffff" w:val="clear"/>
            <w:vAlign w:val="center"/>
          </w:tcPr>
          <w:p w:rsidR="00000000" w:rsidDel="00000000" w:rsidP="00000000" w:rsidRDefault="00000000" w:rsidRPr="00000000" w14:paraId="000004AD">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 </w:t>
            </w:r>
          </w:p>
        </w:tc>
      </w:tr>
      <w:tr>
        <w:trPr>
          <w:cantSplit w:val="0"/>
          <w:trHeight w:val="20"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4AE">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Dispensa de tratamento</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AF">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B0">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B1">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B2">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2,61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B3">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B4">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r>
      <w:tr>
        <w:trPr>
          <w:cantSplit w:val="0"/>
          <w:trHeight w:val="20"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4B5">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Observação do Animal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B6">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B7">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B8">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B9">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3,66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BA">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BB">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r>
      <w:tr>
        <w:trPr>
          <w:cantSplit w:val="0"/>
          <w:trHeight w:val="20"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4BC">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Observação e vacina</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BD">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BE">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BF">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C0">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4,31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C1">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C2">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r>
      <w:tr>
        <w:trPr>
          <w:cantSplit w:val="0"/>
          <w:trHeight w:val="20"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4C3">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Vacina</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C4">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643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C5">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83,94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C6">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C7">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C8">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C9">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r>
      <w:tr>
        <w:trPr>
          <w:cantSplit w:val="0"/>
          <w:trHeight w:val="20"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4CA">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Soro e vacina</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CB">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CC">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sz w:val="20"/>
                <w:szCs w:val="20"/>
                <w:rtl w:val="0"/>
              </w:rPr>
              <w:t xml:space="preserve">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4CD">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4CE">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CF">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42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D0">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5,48</w:t>
            </w:r>
          </w:p>
        </w:tc>
      </w:tr>
      <w:tr>
        <w:trPr>
          <w:cantSplit w:val="0"/>
          <w:trHeight w:val="20" w:hRule="atLeast"/>
          <w:tblHeader w:val="0"/>
        </w:trPr>
        <w:tc>
          <w:tcPr>
            <w:gridSpan w:val="5"/>
            <w:tcBorders>
              <w:top w:color="000000" w:space="0" w:sz="4" w:val="single"/>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4D1">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Acidentes graves com animais domésticos sem suspeita de raiva (n=15222)</w:t>
            </w:r>
          </w:p>
        </w:tc>
        <w:tc>
          <w:tcPr>
            <w:tcBorders>
              <w:top w:color="000000" w:space="0" w:sz="4" w:val="single"/>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4D6">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4" w:val="single"/>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4D7">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r>
      <w:tr>
        <w:trPr>
          <w:cantSplit w:val="0"/>
          <w:trHeight w:val="20"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4D8">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Dispensa de tratamento</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D9">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DA">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DB">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DC">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0,16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DD">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DE">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r>
      <w:tr>
        <w:trPr>
          <w:cantSplit w:val="0"/>
          <w:trHeight w:val="20"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4DF">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Observação do Animal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E0">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13088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E1">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85,98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E2">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E3">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E4">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E5">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r>
      <w:tr>
        <w:trPr>
          <w:cantSplit w:val="0"/>
          <w:trHeight w:val="20"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4E6">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Observação e vacina</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E7">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E8">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E9">
            <w:pPr>
              <w:spacing w:after="0" w:line="240" w:lineRule="auto"/>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1812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EA">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11,90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EB">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EC">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r>
      <w:tr>
        <w:trPr>
          <w:cantSplit w:val="0"/>
          <w:trHeight w:val="20"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4ED">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Vacina</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EE">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EF">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F0">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230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F1">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1,51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F2">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F3">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r>
      <w:tr>
        <w:trPr>
          <w:cantSplit w:val="0"/>
          <w:trHeight w:val="20"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4F4">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Soro e vacina</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F5">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68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F6">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0,45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F7">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F8">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F9">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FA">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r>
      <w:tr>
        <w:trPr>
          <w:cantSplit w:val="0"/>
          <w:trHeight w:val="20" w:hRule="atLeast"/>
          <w:tblHeader w:val="0"/>
        </w:trPr>
        <w:tc>
          <w:tcPr>
            <w:gridSpan w:val="5"/>
            <w:tcBorders>
              <w:top w:color="000000" w:space="0" w:sz="4" w:val="single"/>
              <w:left w:color="000000" w:space="0" w:sz="0" w:val="nil"/>
              <w:bottom w:color="000000" w:space="0" w:sz="4" w:val="single"/>
              <w:right w:color="000000" w:space="0" w:sz="0" w:val="nil"/>
            </w:tcBorders>
            <w:shd w:fill="ffffff" w:val="clear"/>
            <w:vAlign w:val="center"/>
          </w:tcPr>
          <w:p w:rsidR="00000000" w:rsidDel="00000000" w:rsidP="00000000" w:rsidRDefault="00000000" w:rsidRPr="00000000" w14:paraId="000004FB">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Acidentes graves com animais domésticos suspeitos de raiva (n= 309)</w:t>
            </w:r>
          </w:p>
        </w:tc>
        <w:tc>
          <w:tcPr>
            <w:tcBorders>
              <w:top w:color="000000" w:space="0" w:sz="4" w:val="single"/>
              <w:left w:color="000000" w:space="0" w:sz="0" w:val="nil"/>
              <w:bottom w:color="000000" w:space="0" w:sz="4" w:val="single"/>
              <w:right w:color="000000" w:space="0" w:sz="0" w:val="nil"/>
            </w:tcBorders>
            <w:shd w:fill="ffffff" w:val="clear"/>
            <w:vAlign w:val="center"/>
          </w:tcPr>
          <w:p w:rsidR="00000000" w:rsidDel="00000000" w:rsidP="00000000" w:rsidRDefault="00000000" w:rsidRPr="00000000" w14:paraId="00000500">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 </w:t>
            </w:r>
          </w:p>
        </w:tc>
        <w:tc>
          <w:tcPr>
            <w:tcBorders>
              <w:top w:color="000000" w:space="0" w:sz="4" w:val="single"/>
              <w:left w:color="000000" w:space="0" w:sz="0" w:val="nil"/>
              <w:bottom w:color="000000" w:space="0" w:sz="4" w:val="single"/>
              <w:right w:color="000000" w:space="0" w:sz="0" w:val="nil"/>
            </w:tcBorders>
            <w:shd w:fill="ffffff" w:val="clear"/>
            <w:vAlign w:val="center"/>
          </w:tcPr>
          <w:p w:rsidR="00000000" w:rsidDel="00000000" w:rsidP="00000000" w:rsidRDefault="00000000" w:rsidRPr="00000000" w14:paraId="00000501">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 </w:t>
            </w:r>
          </w:p>
        </w:tc>
      </w:tr>
      <w:tr>
        <w:trPr>
          <w:cantSplit w:val="0"/>
          <w:trHeight w:val="20"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502">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Dispensa de tratamento</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503">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504">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505">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506">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2,27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507">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508">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r>
      <w:tr>
        <w:trPr>
          <w:cantSplit w:val="0"/>
          <w:trHeight w:val="20"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509">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Observação do Animal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50A">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50B">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50C">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95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50D">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30,74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50E">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50F">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r>
      <w:tr>
        <w:trPr>
          <w:cantSplit w:val="0"/>
          <w:trHeight w:val="20"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510">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Observação e vacina</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511">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512">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513">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514">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11,00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515">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516">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r>
      <w:tr>
        <w:trPr>
          <w:cantSplit w:val="0"/>
          <w:trHeight w:val="20"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517">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Vacina</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518">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519">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51A">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86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51B">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27,83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51C">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51D">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r>
      <w:tr>
        <w:trPr>
          <w:cantSplit w:val="0"/>
          <w:trHeight w:val="20"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51E">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Soro e vacina</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51F">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87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520">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28,16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521">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522">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523">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524">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r>
      <w:tr>
        <w:trPr>
          <w:cantSplit w:val="0"/>
          <w:trHeight w:val="20" w:hRule="atLeast"/>
          <w:tblHeader w:val="0"/>
        </w:trPr>
        <w:tc>
          <w:tcPr>
            <w:gridSpan w:val="6"/>
            <w:tcBorders>
              <w:top w:color="000000" w:space="0" w:sz="4" w:val="single"/>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525">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Acidentes graves com animais domésticos raivosos, desaparecidos e mortos (n= 1763)</w:t>
            </w:r>
          </w:p>
        </w:tc>
        <w:tc>
          <w:tcPr>
            <w:tcBorders>
              <w:top w:color="000000" w:space="0" w:sz="4" w:val="single"/>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52B">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 </w:t>
            </w:r>
          </w:p>
        </w:tc>
      </w:tr>
      <w:tr>
        <w:trPr>
          <w:cantSplit w:val="0"/>
          <w:trHeight w:val="20"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52C">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Dispensa de tratamento</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52D">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52E">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52F">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58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530">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3,29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531">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532">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r>
      <w:tr>
        <w:trPr>
          <w:cantSplit w:val="0"/>
          <w:trHeight w:val="20"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533">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Observação do Animal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534">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535">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536">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40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537">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2,27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538">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539">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r>
      <w:tr>
        <w:trPr>
          <w:cantSplit w:val="0"/>
          <w:trHeight w:val="20"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53A">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Observação e vacina</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53B">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53C">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53D">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82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53E">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4,65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53F">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540">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r>
      <w:tr>
        <w:trPr>
          <w:cantSplit w:val="0"/>
          <w:trHeight w:val="20"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541">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Vacina</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542">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543">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544">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1074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545">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60,92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546">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547">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r>
      <w:tr>
        <w:trPr>
          <w:cantSplit w:val="0"/>
          <w:trHeight w:val="20"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548">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Soro e vacina</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549">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509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54A">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28,87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54B">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54C">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54D">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54E">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r>
      <w:tr>
        <w:trPr>
          <w:cantSplit w:val="0"/>
          <w:trHeight w:val="20" w:hRule="atLeast"/>
          <w:tblHeader w:val="0"/>
        </w:trPr>
        <w:tc>
          <w:tcPr>
            <w:gridSpan w:val="3"/>
            <w:tcBorders>
              <w:top w:color="000000" w:space="0" w:sz="4" w:val="single"/>
              <w:left w:color="000000" w:space="0" w:sz="0" w:val="nil"/>
              <w:bottom w:color="000000" w:space="0" w:sz="4" w:val="single"/>
              <w:right w:color="000000" w:space="0" w:sz="0" w:val="nil"/>
            </w:tcBorders>
            <w:shd w:fill="ffffff" w:val="clear"/>
            <w:vAlign w:val="center"/>
          </w:tcPr>
          <w:p w:rsidR="00000000" w:rsidDel="00000000" w:rsidP="00000000" w:rsidRDefault="00000000" w:rsidRPr="00000000" w14:paraId="0000054F">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Acidentes envolvendo animais silvestres (n=439)</w:t>
            </w:r>
          </w:p>
        </w:tc>
        <w:tc>
          <w:tcPr>
            <w:tcBorders>
              <w:top w:color="000000" w:space="0" w:sz="4" w:val="single"/>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552">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4" w:val="single"/>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553">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4" w:val="single"/>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554">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4" w:val="single"/>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555">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r>
      <w:tr>
        <w:trPr>
          <w:cantSplit w:val="0"/>
          <w:trHeight w:val="20"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556">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Dispensa de tratamento</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557">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558">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559">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55A">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2,05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55B">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55C">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r>
      <w:tr>
        <w:trPr>
          <w:cantSplit w:val="0"/>
          <w:trHeight w:val="20"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55D">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Observação do Animal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55E">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55F">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560">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561">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2,73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562">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563">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r>
      <w:tr>
        <w:trPr>
          <w:cantSplit w:val="0"/>
          <w:trHeight w:val="20"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564">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Observação e vacina</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565">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566">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567">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568">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1,82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569">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56A">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r>
      <w:tr>
        <w:trPr>
          <w:cantSplit w:val="0"/>
          <w:trHeight w:val="20"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56B">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Vacina</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56C">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56D">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56E">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94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56F">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21,41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570">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571">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r>
      <w:tr>
        <w:trPr>
          <w:cantSplit w:val="0"/>
          <w:trHeight w:val="20"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572">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Soro e vacina</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573">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316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574">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71,98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575">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576">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577">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578">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r>
      <w:tr>
        <w:trPr>
          <w:cantSplit w:val="0"/>
          <w:trHeight w:val="20" w:hRule="atLeast"/>
          <w:tblHeader w:val="0"/>
        </w:trPr>
        <w:tc>
          <w:tcPr>
            <w:tcBorders>
              <w:top w:color="000000" w:space="0" w:sz="4" w:val="single"/>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579">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Contato Indireto (n= 70)</w:t>
            </w:r>
          </w:p>
        </w:tc>
        <w:tc>
          <w:tcPr>
            <w:tcBorders>
              <w:top w:color="000000" w:space="0" w:sz="4" w:val="single"/>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57A">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10</w:t>
            </w:r>
          </w:p>
        </w:tc>
        <w:tc>
          <w:tcPr>
            <w:tcBorders>
              <w:top w:color="000000" w:space="0" w:sz="4" w:val="single"/>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57B">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14,29</w:t>
            </w:r>
          </w:p>
        </w:tc>
        <w:tc>
          <w:tcPr>
            <w:tcBorders>
              <w:top w:color="000000" w:space="0" w:sz="4" w:val="single"/>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57C">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4" w:val="single"/>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57D">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4" w:val="single"/>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57E">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60</w:t>
            </w:r>
          </w:p>
        </w:tc>
        <w:tc>
          <w:tcPr>
            <w:tcBorders>
              <w:top w:color="000000" w:space="0" w:sz="4" w:val="single"/>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57F">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85,71</w:t>
            </w:r>
          </w:p>
        </w:tc>
      </w:tr>
      <w:tr>
        <w:trPr>
          <w:cantSplit w:val="0"/>
          <w:trHeight w:val="20" w:hRule="atLeast"/>
          <w:tblHeader w:val="0"/>
        </w:trPr>
        <w:tc>
          <w:tcPr>
            <w:tcBorders>
              <w:top w:color="000000" w:space="0" w:sz="0" w:val="nil"/>
              <w:left w:color="000000" w:space="0" w:sz="0" w:val="nil"/>
              <w:bottom w:color="000000" w:space="0" w:sz="4" w:val="single"/>
              <w:right w:color="000000" w:space="0" w:sz="0" w:val="nil"/>
            </w:tcBorders>
            <w:shd w:fill="ffffff" w:val="clear"/>
            <w:vAlign w:val="center"/>
          </w:tcPr>
          <w:p w:rsidR="00000000" w:rsidDel="00000000" w:rsidP="00000000" w:rsidRDefault="00000000" w:rsidRPr="00000000" w14:paraId="00000580">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Acidentes leves (n= 6520)</w:t>
            </w:r>
          </w:p>
        </w:tc>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581">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6266</w:t>
            </w:r>
          </w:p>
        </w:tc>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582">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96,10</w:t>
            </w:r>
          </w:p>
        </w:tc>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583">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127</w:t>
            </w:r>
          </w:p>
        </w:tc>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584">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1,95</w:t>
            </w:r>
          </w:p>
        </w:tc>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585">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127</w:t>
            </w:r>
          </w:p>
        </w:tc>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586">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1,95</w:t>
            </w:r>
          </w:p>
        </w:tc>
      </w:tr>
      <w:tr>
        <w:trPr>
          <w:cantSplit w:val="0"/>
          <w:trHeight w:val="20" w:hRule="atLeast"/>
          <w:tblHeader w:val="0"/>
        </w:trPr>
        <w:tc>
          <w:tcPr>
            <w:tcBorders>
              <w:top w:color="000000" w:space="0" w:sz="0" w:val="nil"/>
              <w:left w:color="000000" w:space="0" w:sz="0" w:val="nil"/>
              <w:bottom w:color="000000" w:space="0" w:sz="4" w:val="single"/>
              <w:right w:color="000000" w:space="0" w:sz="0" w:val="nil"/>
            </w:tcBorders>
            <w:shd w:fill="ffffff" w:val="clear"/>
            <w:vAlign w:val="center"/>
          </w:tcPr>
          <w:p w:rsidR="00000000" w:rsidDel="00000000" w:rsidP="00000000" w:rsidRDefault="00000000" w:rsidRPr="00000000" w14:paraId="00000587">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Acidentes graves (n=17294)</w:t>
            </w:r>
          </w:p>
        </w:tc>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588">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13752</w:t>
            </w:r>
          </w:p>
        </w:tc>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589">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79,51</w:t>
            </w:r>
          </w:p>
        </w:tc>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58A">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3542</w:t>
            </w:r>
          </w:p>
        </w:tc>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58B">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20,48</w:t>
            </w:r>
          </w:p>
        </w:tc>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58C">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58D">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r>
      <w:tr>
        <w:trPr>
          <w:cantSplit w:val="0"/>
          <w:trHeight w:val="20" w:hRule="atLeast"/>
          <w:tblHeader w:val="0"/>
        </w:trPr>
        <w:tc>
          <w:tcPr>
            <w:tcBorders>
              <w:top w:color="000000" w:space="0" w:sz="0" w:val="nil"/>
              <w:left w:color="000000" w:space="0" w:sz="0" w:val="nil"/>
              <w:bottom w:color="000000" w:space="0" w:sz="8" w:val="single"/>
              <w:right w:color="000000" w:space="0" w:sz="0" w:val="nil"/>
            </w:tcBorders>
            <w:shd w:fill="ffffff" w:val="clear"/>
            <w:vAlign w:val="center"/>
          </w:tcPr>
          <w:p w:rsidR="00000000" w:rsidDel="00000000" w:rsidP="00000000" w:rsidRDefault="00000000" w:rsidRPr="00000000" w14:paraId="0000058E">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Acidentes envolvendo animais silvestres (n=439)</w:t>
            </w:r>
          </w:p>
        </w:tc>
        <w:tc>
          <w:tcPr>
            <w:tcBorders>
              <w:top w:color="000000" w:space="0" w:sz="0" w:val="nil"/>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58F">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316</w:t>
            </w:r>
          </w:p>
        </w:tc>
        <w:tc>
          <w:tcPr>
            <w:tcBorders>
              <w:top w:color="000000" w:space="0" w:sz="0" w:val="nil"/>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590">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71,98</w:t>
            </w:r>
          </w:p>
        </w:tc>
        <w:tc>
          <w:tcPr>
            <w:tcBorders>
              <w:top w:color="000000" w:space="0" w:sz="0" w:val="nil"/>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591">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123</w:t>
            </w:r>
          </w:p>
        </w:tc>
        <w:tc>
          <w:tcPr>
            <w:tcBorders>
              <w:top w:color="000000" w:space="0" w:sz="0" w:val="nil"/>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592">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28,02</w:t>
            </w:r>
          </w:p>
        </w:tc>
        <w:tc>
          <w:tcPr>
            <w:tcBorders>
              <w:top w:color="000000" w:space="0" w:sz="0" w:val="nil"/>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593">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0</w:t>
            </w:r>
          </w:p>
        </w:tc>
        <w:tc>
          <w:tcPr>
            <w:tcBorders>
              <w:top w:color="000000" w:space="0" w:sz="0" w:val="nil"/>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594">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0</w:t>
            </w:r>
          </w:p>
        </w:tc>
      </w:tr>
      <w:tr>
        <w:trPr>
          <w:cantSplit w:val="0"/>
          <w:trHeight w:val="20" w:hRule="atLeast"/>
          <w:tblHeader w:val="0"/>
        </w:trPr>
        <w:tc>
          <w:tcPr>
            <w:tcBorders>
              <w:top w:color="000000" w:space="0" w:sz="0" w:val="nil"/>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595">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Total (n=24323)</w:t>
            </w:r>
          </w:p>
        </w:tc>
        <w:tc>
          <w:tcPr>
            <w:tcBorders>
              <w:top w:color="000000" w:space="0" w:sz="0" w:val="nil"/>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596">
            <w:pPr>
              <w:spacing w:after="0" w:line="240" w:lineRule="auto"/>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20344</w:t>
            </w:r>
          </w:p>
        </w:tc>
        <w:tc>
          <w:tcPr>
            <w:tcBorders>
              <w:top w:color="000000" w:space="0" w:sz="0" w:val="nil"/>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597">
            <w:pPr>
              <w:spacing w:after="0" w:line="240" w:lineRule="auto"/>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83,64</w:t>
            </w:r>
          </w:p>
        </w:tc>
        <w:tc>
          <w:tcPr>
            <w:tcBorders>
              <w:top w:color="000000" w:space="0" w:sz="0" w:val="nil"/>
              <w:left w:color="000000" w:space="0" w:sz="0" w:val="nil"/>
              <w:bottom w:color="000000" w:space="0" w:sz="8" w:val="single"/>
              <w:right w:color="000000" w:space="0" w:sz="0" w:val="nil"/>
            </w:tcBorders>
            <w:shd w:fill="auto" w:val="clear"/>
            <w:vAlign w:val="bottom"/>
          </w:tcPr>
          <w:p w:rsidR="00000000" w:rsidDel="00000000" w:rsidP="00000000" w:rsidRDefault="00000000" w:rsidRPr="00000000" w14:paraId="00000598">
            <w:pPr>
              <w:spacing w:after="0" w:line="240" w:lineRule="auto"/>
              <w:jc w:val="right"/>
              <w:rPr>
                <w:rFonts w:ascii="Times New Roman" w:cs="Times New Roman" w:eastAsia="Times New Roman" w:hAnsi="Times New Roman"/>
                <w:b w:val="1"/>
                <w:color w:val="000000"/>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599">
            <w:pPr>
              <w:spacing w:after="0" w:line="240" w:lineRule="auto"/>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3979</w:t>
            </w:r>
          </w:p>
        </w:tc>
        <w:tc>
          <w:tcPr>
            <w:tcBorders>
              <w:top w:color="000000" w:space="0" w:sz="0" w:val="nil"/>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59A">
            <w:pPr>
              <w:spacing w:after="0" w:line="240" w:lineRule="auto"/>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16,35</w:t>
            </w:r>
          </w:p>
        </w:tc>
        <w:tc>
          <w:tcPr>
            <w:tcBorders>
              <w:top w:color="000000" w:space="0" w:sz="0" w:val="nil"/>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59B">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 </w:t>
            </w:r>
          </w:p>
        </w:tc>
      </w:tr>
    </w:tbl>
    <w:p w:rsidR="00000000" w:rsidDel="00000000" w:rsidP="00000000" w:rsidRDefault="00000000" w:rsidRPr="00000000" w14:paraId="0000059C">
      <w:pPr>
        <w:rPr/>
        <w:sectPr>
          <w:type w:val="nextPage"/>
          <w:pgSz w:h="16838" w:w="11906" w:orient="portrait"/>
          <w:pgMar w:bottom="720" w:top="720" w:left="720" w:right="720" w:header="397" w:footer="680"/>
          <w:titlePg w:val="1"/>
        </w:sectPr>
      </w:pPr>
      <w:r w:rsidDel="00000000" w:rsidR="00000000" w:rsidRPr="00000000">
        <w:rPr>
          <w:rtl w:val="0"/>
        </w:rPr>
      </w:r>
    </w:p>
    <w:p w:rsidR="00000000" w:rsidDel="00000000" w:rsidP="00000000" w:rsidRDefault="00000000" w:rsidRPr="00000000" w14:paraId="000005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113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Houve uma predominância de atendimentos de indivíduos do sexo masculino, que provavelmente, com brincadeiras e atitudes que podem despertar reação de agressividade nos animais (CARVALHO et al., 2002). É possível que os adultos, principalmente os homens, estejam mais susceptíveis a tais agressões em suas atividades diárias de trabalho, como lazer e maior permanecia nas vias públicas (VELOSO, 2011; SANTOS, 2017). Além do mais as faixas etárias de 20 a 39 anos, correspondeu aos jovens e adultos, dados estes semelhantes aos de outros estudos (BLANTON,2005; ALONSO, 2005; VELOSO, 2011; SANTOS ,2017). </w:t>
      </w:r>
    </w:p>
    <w:p w:rsidR="00000000" w:rsidDel="00000000" w:rsidP="00000000" w:rsidRDefault="00000000" w:rsidRPr="00000000" w14:paraId="000005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113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Os Indivíduos pardos os mais frequentes, dentre a variável raça/cor da pele, corroborando com o estudo de Menezes, (2017). Pessoas com o ensino fundamental incompleto foram as mais acometidas. O grau de escolaridade segundo a literatura estar como indicador de nível socioeconômico, estudos demonstram que estes fatores parecem estar diretamente associados com o risco de ocorrência de agressões por animais que podem transmitir a raiva e com o menor nível de escolaridade, que consequentemente tenham baixo poder aquisitivo e sem acesso à informação, e a vista disso os seus animais tenham livre acesso diário às ruas sem acompanhamento do dono e não sejam vacinados (FILGUEIRA et al, 2011; VIGILATO et al, 2013). Houve uma maior concentração na zona urbana, corroborando com os estudos de Queiroz et al (2013) e Silva et al (2013), Menezes (2017) e Riso (2019), que provavelmente por conta da facilidade de acesso aos serviços de saúde dos casos, facilitando as notificações.</w:t>
      </w:r>
    </w:p>
    <w:p w:rsidR="00000000" w:rsidDel="00000000" w:rsidP="00000000" w:rsidRDefault="00000000" w:rsidRPr="00000000" w14:paraId="000005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113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 relação aos acidentes com animais a humanos, os casos mais notificados foram por mordeduras, com lesões superficiais nos membros inferiores e ferimentos únicos. Segundo o Ministério da Saúde, a mordedura é considerada o tipo de exposição mais comum entre as notificações, e isso pode ser explicado pelo fato de os animais agressores como os cães encontrarem nesse ato uma maneira de se defender. Estas agressões são consideradas agravos à saúde humana, vistas como um problema de interesse para a Saúde Pública e que demandam a padronização de conduta, organização de dados, serviços e procedimentos (SCHNEIDER et al, 1996).</w:t>
      </w:r>
    </w:p>
    <w:p w:rsidR="00000000" w:rsidDel="00000000" w:rsidP="00000000" w:rsidRDefault="00000000" w:rsidRPr="00000000" w14:paraId="000005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113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maioria das pessoas envolvidas em agravos com animais foram realizadas a observação e dispensa de tratamento. Justificando que estar atribuído ao elevado número de animais como os cães e gatos que estavam passíveis de observação como espécies agressoras e por meio da observação do animal permanecendo ele sadio no período recomendado. Portanto, previne-se a prescrição desnecessária de tratamentos, diminuindo a possibilidade de reações adversas e gastos públicos (SANTOS, 2017; CAVALCANTE, 2017). </w:t>
      </w:r>
    </w:p>
    <w:p w:rsidR="00000000" w:rsidDel="00000000" w:rsidP="00000000" w:rsidRDefault="00000000" w:rsidRPr="00000000" w14:paraId="000005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113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Entre as que fizeram o tratamento a maior parte receberam somente vacina, embora seja uma conduta indicada somente para cães e gatos passíveis de observação, devido ao período de incubação da raiva, ou nos casos de acidentes leves (BRASIL, 2019) Em outras palavras os principais tratamentos indicados são vacinação quando animais não forem observáveis e soro-vacinação sempre que a exposição for por animais silvestres, como os morcegos (DA SILVA et al, 2016; SANTOS et al, 2017).</w:t>
      </w:r>
    </w:p>
    <w:p w:rsidR="00000000" w:rsidDel="00000000" w:rsidP="00000000" w:rsidRDefault="00000000" w:rsidRPr="00000000" w14:paraId="000005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113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localização, o tipo do ferimento e a condição do animal no momento da agressão são necessários para classificar os acidentes como leves ou graves, considerando-se a ação do vírus no sistema nervoso central, de forma a orientar as condutas de profilaxia pós-exposição (BRASIL, 2017a). A importância do reconhecimento da espécie agressora em acidentes antirrábicos irá determinar a conduta para o caso (RISSO,2019). Embora a conduta profilática tenha sido indicada de forma adequada na maioria dos atendimentos de profilaxia antirrábica humana pós-exposição, parte das condutas realizadas nas unidades de saúde foram inapropriadas para o tipo de agressão, como os acidentes por contato indireto que foi classificada como excessiva. Segundo o Ministério da Saúde a dispensa de tratamento é o indicado. Esses resultados, corrobora os de Cavalcante (2018) no período de 2007 a 2015 no estado do Ceará, que sugere uma possível insegurança nas prescrições por parte dos profissionais da saúde, onde encontrou conduta inadequadas e excessivas por contato indireto. Uma explicação é que esses profissionais costumam indicar mais doses do que as necessárias ao tipo de exposição do paciente, desconsiderando os aspectos epidemiológicos de cada atendimento de acidentes por animais potencialmente transmissores da raiva (CARVALHO, 2002).</w:t>
      </w:r>
    </w:p>
    <w:p w:rsidR="00000000" w:rsidDel="00000000" w:rsidP="00000000" w:rsidRDefault="00000000" w:rsidRPr="00000000" w14:paraId="000005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113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Aqueles acidentes graves com animais domésticos (suspeitos de raiva e raivosos, desaparecidos e mortos) e envolvendo os silvestres a conduta indicada foi insuficiente, pois é necessário o tratamento pós exposição completo com a indicação de vacina e soro antirrábico, que deve ser utilizado apenas nestes casos, conforme as Normas Técnicas de Profilaxia da Raiva Humana publicadas pelo Ministério da Saúde.  Em um estudo no Brasil do período de 2014 a 2019 analisou os dados epidemiológicos e identificou que a maioria dos casos notificados foram de condutas profiláticas adequadas, mas observou indicações inadequadas que, quando insuficientes, podem acarretar casos de raiva humana (ESTIMA et al, 2022). É necessário a avaliação correta no caso de acidentes com animais e deve-se avaliar qual a espécie animal envolvida, circunstâncias do acidente, status imunológico do paciente e do animal, histórico de zoonoses e principalmente da raiva na região (BRASIL, 2003; DA SILVA, 2016). </w:t>
      </w:r>
    </w:p>
    <w:p w:rsidR="00000000" w:rsidDel="00000000" w:rsidP="00000000" w:rsidRDefault="00000000" w:rsidRPr="00000000" w14:paraId="000005A4">
      <w:pPr>
        <w:pStyle w:val="Heading3"/>
        <w:ind w:firstLine="1134"/>
        <w:rPr/>
      </w:pPr>
      <w:bookmarkStart w:colFirst="0" w:colLast="0" w:name="_heading=h.1mrcu09" w:id="49"/>
      <w:bookmarkEnd w:id="49"/>
      <w:r w:rsidDel="00000000" w:rsidR="00000000" w:rsidRPr="00000000">
        <w:rPr>
          <w:rtl w:val="0"/>
        </w:rPr>
        <w:t xml:space="preserve">Interrupção do tratamento antirrábico humano em Feira de Santana (2008-2019)</w:t>
      </w:r>
    </w:p>
    <w:p w:rsidR="00000000" w:rsidDel="00000000" w:rsidP="00000000" w:rsidRDefault="00000000" w:rsidRPr="00000000" w14:paraId="000005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113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Aqueles que interromperam qualquer tipo de tratamento indicado totalizaram 131 (2,38%; IC95%: 2,01 – 2,82) notificações, sendo que em 85 (64,89%; IC95%: 56,06-73,02) dos casos o motivo foi o abandono (Tabela 5).  Daqueles que abandonaram o tratamento, houve busca ativa pela unidade de saúde em 74 (92,50%; IC95%: 84,39-97,20) casos.  Não houve associação entre variáveis epidemiológicas e a interrupção do tratamento por abandono (Tabela 14, Apêndice 5).</w:t>
      </w:r>
    </w:p>
    <w:p w:rsidR="00000000" w:rsidDel="00000000" w:rsidP="00000000" w:rsidRDefault="00000000" w:rsidRPr="00000000" w14:paraId="000005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60" w:before="120" w:line="240" w:lineRule="auto"/>
        <w:ind w:left="1134" w:right="0" w:hanging="1134"/>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46r0co2" w:id="50"/>
      <w:bookmarkEnd w:id="50"/>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Tabela 5.</w:t>
        <w:tab/>
        <w:t xml:space="preserve">Frequência absoluta (Fi), frequência relativa (fi), limite inferior (LI) e superior (LS) do intervalo de confiança 95% (IC95%) de indivíduos encaminhados para tratamento antirrábico, segundo a interrupção e abandono da conduta. Feira de Santana, BA. 2008 -2019.</w:t>
      </w:r>
      <w:r w:rsidDel="00000000" w:rsidR="00000000" w:rsidRPr="00000000">
        <w:rPr>
          <w:rtl w:val="0"/>
        </w:rPr>
      </w:r>
    </w:p>
    <w:tbl>
      <w:tblPr>
        <w:tblStyle w:val="Table7"/>
        <w:tblW w:w="8503.999999999998" w:type="dxa"/>
        <w:jc w:val="center"/>
        <w:tblLayout w:type="fixed"/>
        <w:tblLook w:val="0400"/>
      </w:tblPr>
      <w:tblGrid>
        <w:gridCol w:w="4253"/>
        <w:gridCol w:w="1062"/>
        <w:gridCol w:w="1063"/>
        <w:gridCol w:w="1063"/>
        <w:gridCol w:w="1063"/>
        <w:tblGridChange w:id="0">
          <w:tblGrid>
            <w:gridCol w:w="4253"/>
            <w:gridCol w:w="1062"/>
            <w:gridCol w:w="1063"/>
            <w:gridCol w:w="1063"/>
            <w:gridCol w:w="1063"/>
          </w:tblGrid>
        </w:tblGridChange>
      </w:tblGrid>
      <w:tr>
        <w:trPr>
          <w:cantSplit w:val="0"/>
          <w:trHeight w:val="57" w:hRule="atLeast"/>
          <w:tblHeader w:val="0"/>
        </w:trPr>
        <w:tc>
          <w:tcPr>
            <w:tcBorders>
              <w:top w:color="000000" w:space="0" w:sz="4" w:val="single"/>
              <w:left w:color="000000" w:space="0" w:sz="0" w:val="nil"/>
              <w:bottom w:color="000000" w:space="0" w:sz="4" w:val="single"/>
              <w:right w:color="000000" w:space="0" w:sz="0" w:val="nil"/>
            </w:tcBorders>
            <w:shd w:fill="ffffff" w:val="clear"/>
            <w:vAlign w:val="center"/>
          </w:tcPr>
          <w:p w:rsidR="00000000" w:rsidDel="00000000" w:rsidP="00000000" w:rsidRDefault="00000000" w:rsidRPr="00000000" w14:paraId="000005A7">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Houve interrupção de tratamento?</w:t>
            </w:r>
          </w:p>
        </w:tc>
        <w:tc>
          <w:tcPr>
            <w:tcBorders>
              <w:top w:color="000000" w:space="0" w:sz="4" w:val="single"/>
              <w:left w:color="000000" w:space="0" w:sz="0" w:val="nil"/>
              <w:bottom w:color="000000" w:space="0" w:sz="4" w:val="single"/>
              <w:right w:color="000000" w:space="0" w:sz="0" w:val="nil"/>
            </w:tcBorders>
            <w:shd w:fill="ffffff" w:val="clear"/>
            <w:vAlign w:val="center"/>
          </w:tcPr>
          <w:p w:rsidR="00000000" w:rsidDel="00000000" w:rsidP="00000000" w:rsidRDefault="00000000" w:rsidRPr="00000000" w14:paraId="000005A8">
            <w:pPr>
              <w:spacing w:after="0" w:line="240" w:lineRule="auto"/>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Fi</w:t>
            </w:r>
          </w:p>
        </w:tc>
        <w:tc>
          <w:tcPr>
            <w:tcBorders>
              <w:top w:color="000000" w:space="0" w:sz="4" w:val="single"/>
              <w:left w:color="000000" w:space="0" w:sz="0" w:val="nil"/>
              <w:bottom w:color="000000" w:space="0" w:sz="4" w:val="single"/>
              <w:right w:color="000000" w:space="0" w:sz="0" w:val="nil"/>
            </w:tcBorders>
            <w:shd w:fill="ffffff" w:val="clear"/>
            <w:vAlign w:val="center"/>
          </w:tcPr>
          <w:p w:rsidR="00000000" w:rsidDel="00000000" w:rsidP="00000000" w:rsidRDefault="00000000" w:rsidRPr="00000000" w14:paraId="000005A9">
            <w:pPr>
              <w:spacing w:after="0" w:line="240" w:lineRule="auto"/>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fi</w:t>
            </w:r>
          </w:p>
        </w:tc>
        <w:tc>
          <w:tcPr>
            <w:tcBorders>
              <w:top w:color="000000" w:space="0" w:sz="4" w:val="single"/>
              <w:left w:color="000000" w:space="0" w:sz="0" w:val="nil"/>
              <w:bottom w:color="000000" w:space="0" w:sz="4" w:val="single"/>
              <w:right w:color="000000" w:space="0" w:sz="0" w:val="nil"/>
            </w:tcBorders>
            <w:shd w:fill="ffffff" w:val="clear"/>
            <w:vAlign w:val="center"/>
          </w:tcPr>
          <w:p w:rsidR="00000000" w:rsidDel="00000000" w:rsidP="00000000" w:rsidRDefault="00000000" w:rsidRPr="00000000" w14:paraId="000005AA">
            <w:pPr>
              <w:spacing w:after="0" w:line="240" w:lineRule="auto"/>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LI-IC95</w:t>
            </w:r>
          </w:p>
        </w:tc>
        <w:tc>
          <w:tcPr>
            <w:tcBorders>
              <w:top w:color="000000" w:space="0" w:sz="4" w:val="single"/>
              <w:left w:color="000000" w:space="0" w:sz="0" w:val="nil"/>
              <w:bottom w:color="000000" w:space="0" w:sz="4" w:val="single"/>
              <w:right w:color="000000" w:space="0" w:sz="0" w:val="nil"/>
            </w:tcBorders>
            <w:shd w:fill="ffffff" w:val="clear"/>
            <w:vAlign w:val="center"/>
          </w:tcPr>
          <w:p w:rsidR="00000000" w:rsidDel="00000000" w:rsidP="00000000" w:rsidRDefault="00000000" w:rsidRPr="00000000" w14:paraId="000005AB">
            <w:pPr>
              <w:spacing w:after="0" w:line="240" w:lineRule="auto"/>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LS-IC95</w:t>
            </w:r>
          </w:p>
        </w:tc>
      </w:tr>
      <w:tr>
        <w:trPr>
          <w:cantSplit w:val="0"/>
          <w:trHeight w:val="57" w:hRule="atLeast"/>
          <w:tblHeader w:val="0"/>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5AC">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Não</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5AD">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5366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5AE">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97,62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5AF">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97,18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5B0">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97,99</w:t>
            </w:r>
          </w:p>
        </w:tc>
      </w:tr>
      <w:tr>
        <w:trPr>
          <w:cantSplit w:val="0"/>
          <w:trHeight w:val="57" w:hRule="atLeast"/>
          <w:tblHeader w:val="0"/>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5B1">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Sim</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5B2">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131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5B3">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2,38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5B4">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2,01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5B5">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2,82</w:t>
            </w:r>
          </w:p>
        </w:tc>
      </w:tr>
      <w:tr>
        <w:trPr>
          <w:cantSplit w:val="0"/>
          <w:trHeight w:val="57" w:hRule="atLeast"/>
          <w:tblHeader w:val="0"/>
        </w:trPr>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5B6">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Qual motivo da Interrupção de tratamento?</w:t>
            </w:r>
          </w:p>
        </w:tc>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5B7">
            <w:pPr>
              <w:spacing w:after="0" w:line="240" w:lineRule="auto"/>
              <w:jc w:val="right"/>
              <w:rPr>
                <w:rFonts w:ascii="Times New Roman" w:cs="Times New Roman" w:eastAsia="Times New Roman" w:hAnsi="Times New Roman"/>
                <w:b w:val="1"/>
                <w:color w:val="000000"/>
                <w:sz w:val="20"/>
                <w:szCs w:val="20"/>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5B8">
            <w:pPr>
              <w:spacing w:after="0" w:line="240" w:lineRule="auto"/>
              <w:jc w:val="right"/>
              <w:rPr>
                <w:rFonts w:ascii="Times New Roman" w:cs="Times New Roman" w:eastAsia="Times New Roman" w:hAnsi="Times New Roman"/>
                <w:b w:val="1"/>
                <w:color w:val="000000"/>
                <w:sz w:val="20"/>
                <w:szCs w:val="20"/>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5B9">
            <w:pPr>
              <w:spacing w:after="0" w:line="240" w:lineRule="auto"/>
              <w:jc w:val="right"/>
              <w:rPr>
                <w:rFonts w:ascii="Times New Roman" w:cs="Times New Roman" w:eastAsia="Times New Roman" w:hAnsi="Times New Roman"/>
                <w:b w:val="1"/>
                <w:color w:val="000000"/>
                <w:sz w:val="20"/>
                <w:szCs w:val="20"/>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5BA">
            <w:pPr>
              <w:spacing w:after="0" w:line="240" w:lineRule="auto"/>
              <w:jc w:val="right"/>
              <w:rPr>
                <w:rFonts w:ascii="Times New Roman" w:cs="Times New Roman" w:eastAsia="Times New Roman" w:hAnsi="Times New Roman"/>
                <w:b w:val="1"/>
                <w:color w:val="000000"/>
                <w:sz w:val="20"/>
                <w:szCs w:val="20"/>
              </w:rPr>
            </w:pPr>
            <w:r w:rsidDel="00000000" w:rsidR="00000000" w:rsidRPr="00000000">
              <w:rPr>
                <w:rtl w:val="0"/>
              </w:rPr>
            </w:r>
          </w:p>
        </w:tc>
      </w:tr>
      <w:tr>
        <w:trPr>
          <w:cantSplit w:val="0"/>
          <w:trHeight w:val="57"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BB">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Abandono</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BC">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85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BD">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64,89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BE">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56,06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BF">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73,02</w:t>
            </w:r>
          </w:p>
        </w:tc>
      </w:tr>
      <w:tr>
        <w:trPr>
          <w:cantSplit w:val="0"/>
          <w:trHeight w:val="57"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C0">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Indicação UBS</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C1">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C2">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29,77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C3">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22,10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C4">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38,38</w:t>
            </w:r>
          </w:p>
        </w:tc>
      </w:tr>
      <w:tr>
        <w:trPr>
          <w:cantSplit w:val="0"/>
          <w:trHeight w:val="57"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C5">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Transferência</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C6">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C7">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5,34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C8">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2,18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C9">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10,70</w:t>
            </w:r>
          </w:p>
        </w:tc>
      </w:tr>
      <w:tr>
        <w:trPr>
          <w:cantSplit w:val="0"/>
          <w:trHeight w:val="57" w:hRule="atLeast"/>
          <w:tblHeader w:val="0"/>
        </w:trPr>
        <w:tc>
          <w:tcPr>
            <w:tcBorders>
              <w:top w:color="000000" w:space="0" w:sz="4" w:val="single"/>
              <w:left w:color="000000" w:space="0" w:sz="0" w:val="nil"/>
              <w:bottom w:color="000000" w:space="0" w:sz="4" w:val="single"/>
              <w:right w:color="000000" w:space="0" w:sz="0" w:val="nil"/>
            </w:tcBorders>
            <w:shd w:fill="ffffff" w:val="clear"/>
            <w:vAlign w:val="center"/>
          </w:tcPr>
          <w:p w:rsidR="00000000" w:rsidDel="00000000" w:rsidP="00000000" w:rsidRDefault="00000000" w:rsidRPr="00000000" w14:paraId="000005CA">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Houve abandono de tratamento?</w:t>
            </w:r>
          </w:p>
        </w:tc>
        <w:tc>
          <w:tcPr>
            <w:tcBorders>
              <w:top w:color="000000" w:space="0" w:sz="4" w:val="single"/>
              <w:left w:color="000000" w:space="0" w:sz="0" w:val="nil"/>
              <w:bottom w:color="000000" w:space="0" w:sz="4" w:val="single"/>
              <w:right w:color="000000" w:space="0" w:sz="0" w:val="nil"/>
            </w:tcBorders>
            <w:shd w:fill="ffffff" w:val="clear"/>
            <w:vAlign w:val="center"/>
          </w:tcPr>
          <w:p w:rsidR="00000000" w:rsidDel="00000000" w:rsidP="00000000" w:rsidRDefault="00000000" w:rsidRPr="00000000" w14:paraId="000005CB">
            <w:pPr>
              <w:spacing w:after="0" w:line="240" w:lineRule="auto"/>
              <w:jc w:val="right"/>
              <w:rPr>
                <w:rFonts w:ascii="Times New Roman" w:cs="Times New Roman" w:eastAsia="Times New Roman" w:hAnsi="Times New Roman"/>
                <w:b w:val="1"/>
                <w:color w:val="000000"/>
                <w:sz w:val="20"/>
                <w:szCs w:val="20"/>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ffffff" w:val="clear"/>
            <w:vAlign w:val="center"/>
          </w:tcPr>
          <w:p w:rsidR="00000000" w:rsidDel="00000000" w:rsidP="00000000" w:rsidRDefault="00000000" w:rsidRPr="00000000" w14:paraId="000005CC">
            <w:pPr>
              <w:spacing w:after="0" w:line="240" w:lineRule="auto"/>
              <w:jc w:val="right"/>
              <w:rPr>
                <w:rFonts w:ascii="Times New Roman" w:cs="Times New Roman" w:eastAsia="Times New Roman" w:hAnsi="Times New Roman"/>
                <w:b w:val="1"/>
                <w:color w:val="000000"/>
                <w:sz w:val="20"/>
                <w:szCs w:val="20"/>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ffffff" w:val="clear"/>
            <w:vAlign w:val="center"/>
          </w:tcPr>
          <w:p w:rsidR="00000000" w:rsidDel="00000000" w:rsidP="00000000" w:rsidRDefault="00000000" w:rsidRPr="00000000" w14:paraId="000005CD">
            <w:pPr>
              <w:spacing w:after="0" w:line="240" w:lineRule="auto"/>
              <w:jc w:val="right"/>
              <w:rPr>
                <w:rFonts w:ascii="Times New Roman" w:cs="Times New Roman" w:eastAsia="Times New Roman" w:hAnsi="Times New Roman"/>
                <w:b w:val="1"/>
                <w:color w:val="000000"/>
                <w:sz w:val="20"/>
                <w:szCs w:val="20"/>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ffffff" w:val="clear"/>
            <w:vAlign w:val="center"/>
          </w:tcPr>
          <w:p w:rsidR="00000000" w:rsidDel="00000000" w:rsidP="00000000" w:rsidRDefault="00000000" w:rsidRPr="00000000" w14:paraId="000005CE">
            <w:pPr>
              <w:spacing w:after="0" w:line="240" w:lineRule="auto"/>
              <w:jc w:val="right"/>
              <w:rPr>
                <w:rFonts w:ascii="Times New Roman" w:cs="Times New Roman" w:eastAsia="Times New Roman" w:hAnsi="Times New Roman"/>
                <w:b w:val="1"/>
                <w:color w:val="000000"/>
                <w:sz w:val="20"/>
                <w:szCs w:val="20"/>
              </w:rPr>
            </w:pPr>
            <w:r w:rsidDel="00000000" w:rsidR="00000000" w:rsidRPr="00000000">
              <w:rPr>
                <w:rtl w:val="0"/>
              </w:rPr>
            </w:r>
          </w:p>
        </w:tc>
      </w:tr>
      <w:tr>
        <w:trPr>
          <w:cantSplit w:val="0"/>
          <w:trHeight w:val="57" w:hRule="atLeast"/>
          <w:tblHeader w:val="0"/>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5CF">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Não</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5D0">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5412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5D1">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98,45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5D2">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98,09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5D3">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98,75</w:t>
            </w:r>
          </w:p>
        </w:tc>
      </w:tr>
      <w:tr>
        <w:trPr>
          <w:cantSplit w:val="0"/>
          <w:trHeight w:val="57" w:hRule="atLeast"/>
          <w:tblHeader w:val="0"/>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5D4">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Sim</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5D5">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85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5D6">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1,55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5D7">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1,25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5D8">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1,91</w:t>
            </w:r>
          </w:p>
        </w:tc>
      </w:tr>
      <w:tr>
        <w:trPr>
          <w:cantSplit w:val="0"/>
          <w:trHeight w:val="57" w:hRule="atLeast"/>
          <w:tblHeader w:val="0"/>
        </w:trPr>
        <w:tc>
          <w:tcPr>
            <w:gridSpan w:val="5"/>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5D9">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Se houve abandono de tratamento a unidade de saúde fez busca ativa?</w:t>
            </w:r>
          </w:p>
        </w:tc>
      </w:tr>
      <w:tr>
        <w:trPr>
          <w:cantSplit w:val="0"/>
          <w:trHeight w:val="57" w:hRule="atLeast"/>
          <w:tblHeader w:val="0"/>
        </w:trPr>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05DE">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Não</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05DF">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6</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05E0">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7,50</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05E1">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2,80</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05E2">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15,61</w:t>
            </w:r>
          </w:p>
        </w:tc>
      </w:tr>
      <w:tr>
        <w:trPr>
          <w:cantSplit w:val="0"/>
          <w:trHeight w:val="57" w:hRule="atLeast"/>
          <w:tblHeader w:val="0"/>
        </w:trPr>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5E3">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Sim</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5E4">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74</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5E5">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92,50</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5E6">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84,39</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5E7">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97,20</w:t>
            </w:r>
          </w:p>
        </w:tc>
      </w:tr>
    </w:tbl>
    <w:p w:rsidR="00000000" w:rsidDel="00000000" w:rsidP="00000000" w:rsidRDefault="00000000" w:rsidRPr="00000000" w14:paraId="000005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113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 acordo com a interrupção do tratamento, o principal motivo da não conclusão do tratamento foi o abandono, e a unidade de saúde procurou a maioria dos indivíduos. De acordo com o Ministério da Saúde o esquema vacinal indicado deve ser rigorosamente seguido, sendo a interrupção do tratamento de responsabilidade exclusiva dos profissionais de saúde. O paciente não deve abandonar ou interromper o tratamento antirrábico por conta própria, correndo o risco de contrair a doença pela falta do número necessário de doses para sua imunização (BRASIL, 2009). </w:t>
      </w:r>
    </w:p>
    <w:p w:rsidR="00000000" w:rsidDel="00000000" w:rsidP="00000000" w:rsidRDefault="00000000" w:rsidRPr="00000000" w14:paraId="000005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113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Alguns estudos relatam que encontraram os motivos do abandono, podem ser as despesas de transporte, perdas de horas de trabalho e, no caso das crianças, a necessidade do acompanhamento de um responsável, além da falta de orientação dos profissionais da saúde sobre a importância do tratamento completo, semelhante ao encontrado no presente estudo. (RIBEIRO NETTO, 1970; COSTA, 2000; VELOSO, 2011). Em um estudo no estado de Tocantins no período de 2013 a 2015,  dentre os tratamentos interrompidos, mais da metade foram por abandono do paciente, corroborando com os resultados encontrados em que as pessoas não seguem a profilaxia prescrita, e mesmo ter sido realizado busca ativa pela equipe da unidade de saúde na maioria dos casos, esta não está sendo realizada de forma eficiente (MENEZES, 2017).</w:t>
      </w:r>
    </w:p>
    <w:p w:rsidR="00000000" w:rsidDel="00000000" w:rsidP="00000000" w:rsidRDefault="00000000" w:rsidRPr="00000000" w14:paraId="000005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113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 um estudo sobre os motivos do abandono de tratamento antirrábico humano pós exposição em Porto Alegre, no estado do Rio Grande do Sul, a maioria dos casos confirmados como abandono estava relacionada à falta de entendimento dos pacientes quanto à importância do tratamento profilático, onde haviam transferido a conclusão do esquema vacinal indicado para outro serviço de saúde e essa informação não foi repassada aos profissionais competentes, havendo então desatualizações e, consequentemente, falhas na retroalimentação do SINAN (VELOSO, 2011).</w:t>
      </w:r>
    </w:p>
    <w:p w:rsidR="00000000" w:rsidDel="00000000" w:rsidP="00000000" w:rsidRDefault="00000000" w:rsidRPr="00000000" w14:paraId="000005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113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localização das unidades de saúde é um dos motivos que também podem estar associados a interrupção do tratamento, pois o abandono ocorre por causa da distância da residência dos pacientes. É necessária uma melhor busca ativa nestes casos para averiguação, que podem gerar situações de risco aos indivíduos. </w:t>
      </w:r>
    </w:p>
    <w:p w:rsidR="00000000" w:rsidDel="00000000" w:rsidP="00000000" w:rsidRDefault="00000000" w:rsidRPr="00000000" w14:paraId="000005EC">
      <w:pPr>
        <w:pStyle w:val="Heading2"/>
        <w:ind w:firstLine="567"/>
        <w:rPr>
          <w:smallCaps w:val="1"/>
          <w:highlight w:val="white"/>
        </w:rPr>
      </w:pPr>
      <w:bookmarkStart w:colFirst="0" w:colLast="0" w:name="_heading=h.2lwamvv" w:id="51"/>
      <w:bookmarkEnd w:id="51"/>
      <w:r w:rsidDel="00000000" w:rsidR="00000000" w:rsidRPr="00000000">
        <w:rPr>
          <w:highlight w:val="white"/>
          <w:rtl w:val="0"/>
        </w:rPr>
        <w:t xml:space="preserve">CONCLUSÃO</w:t>
      </w:r>
      <w:r w:rsidDel="00000000" w:rsidR="00000000" w:rsidRPr="00000000">
        <w:rPr>
          <w:rtl w:val="0"/>
        </w:rPr>
      </w:r>
    </w:p>
    <w:p w:rsidR="00000000" w:rsidDel="00000000" w:rsidP="00000000" w:rsidRDefault="00000000" w:rsidRPr="00000000" w14:paraId="000005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113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Neste estudo os acidentes antirrábicos no município de Feira de Santana, Bahia, apresentaram características do perfil epidemiológico e sociodemográfico dos casos notificados de indivíduos com faixa etária 20 a 39 anos de idade, do sexo masculino, pardos, com ensino fundamental incompleto e moradores de zona urbana, sendo que as mordeduras pela espécie canina foram as mais frequentes e ferimentos únicos.  A conduta profilática dos acidentes por contato indireto foi considerada inadequada (excessiva) e os acidentes graves com animais domésticos e por acidentes envolvendo os animais silvestres apresentaram condutas adequadas, porém existiram casos que foram inadequados (insuficientes). Houve um pequeno número de casos que fizeram a interrupção de tratamento, sendo que o motivo foi o abandono, havendo busca ativa pela unidade de saúde na maioria dos casos, não sendo encontrada associação entre variáveis epidemiológicas e a interrupção do tratamento.</w:t>
      </w:r>
    </w:p>
    <w:p w:rsidR="00000000" w:rsidDel="00000000" w:rsidP="00000000" w:rsidRDefault="00000000" w:rsidRPr="00000000" w14:paraId="000005EE">
      <w:pPr>
        <w:pStyle w:val="Heading2"/>
        <w:ind w:firstLine="567"/>
        <w:rPr>
          <w:smallCaps w:val="1"/>
          <w:highlight w:val="white"/>
        </w:rPr>
      </w:pPr>
      <w:bookmarkStart w:colFirst="0" w:colLast="0" w:name="_heading=h.111kx3o" w:id="52"/>
      <w:bookmarkEnd w:id="52"/>
      <w:r w:rsidDel="00000000" w:rsidR="00000000" w:rsidRPr="00000000">
        <w:rPr>
          <w:highlight w:val="white"/>
          <w:rtl w:val="0"/>
        </w:rPr>
        <w:t xml:space="preserve">REFERÊNCIAS </w:t>
      </w:r>
      <w:r w:rsidDel="00000000" w:rsidR="00000000" w:rsidRPr="00000000">
        <w:rPr>
          <w:rtl w:val="0"/>
        </w:rPr>
      </w:r>
    </w:p>
    <w:p w:rsidR="00000000" w:rsidDel="00000000" w:rsidP="00000000" w:rsidRDefault="00000000" w:rsidRPr="00000000" w14:paraId="000005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BRASIL. Ministério da Saúde.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Normas técnicas de tratamento profilático antirrábico humano.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2002. Disponível em http://www.saude.rj.gov.br/Acoes/ NORMA_TECNICA_DA_ RAIVA_2002.pdf.</w:t>
      </w:r>
    </w:p>
    <w:p w:rsidR="00000000" w:rsidDel="00000000" w:rsidP="00000000" w:rsidRDefault="00000000" w:rsidRPr="00000000" w14:paraId="000005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BRASIL. Ministério da Saúde, Secretaria de Vigilância em Saúde, Departamento de Vigilância Epidemiológica.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Guia de Vigilância Epidemiológica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2009. 7ª ed. Disponível em: http://www.husm.ufsm.br/nveh/pdf/Guia_Vig Epd_7ed.pdf </w:t>
      </w:r>
    </w:p>
    <w:p w:rsidR="00000000" w:rsidDel="00000000" w:rsidP="00000000" w:rsidRDefault="00000000" w:rsidRPr="00000000" w14:paraId="000005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Times New Roman" w:cs="Times New Roman" w:eastAsia="Times New Roman" w:hAnsi="Times New Roman"/>
          <w:b w:val="0"/>
          <w:i w:val="0"/>
          <w:smallCaps w:val="0"/>
          <w:strike w:val="0"/>
          <w:color w:val="0563c1"/>
          <w:sz w:val="24"/>
          <w:szCs w:val="24"/>
          <w:highlight w:val="white"/>
          <w:u w:val="singl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BRASIL. Ministério da Saúde (BR). Secretaria de Vigilância em Saúde. Departamento de Vigilância Epidemiológica.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Normas técnicas de profilaxia da raiva humana [Internet]. Brasília: Ministério da Saúde</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2014. 60 p. Disponível em: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r>
      <w:hyperlink r:id="rId45">
        <w:r w:rsidDel="00000000" w:rsidR="00000000" w:rsidRPr="00000000">
          <w:rPr>
            <w:rFonts w:ascii="Times New Roman" w:cs="Times New Roman" w:eastAsia="Times New Roman" w:hAnsi="Times New Roman"/>
            <w:b w:val="0"/>
            <w:i w:val="0"/>
            <w:smallCaps w:val="0"/>
            <w:strike w:val="0"/>
            <w:color w:val="000000"/>
            <w:sz w:val="24"/>
            <w:szCs w:val="24"/>
            <w:highlight w:val="white"/>
            <w:u w:val="single"/>
            <w:vertAlign w:val="baseline"/>
            <w:rtl w:val="0"/>
          </w:rPr>
          <w:t xml:space="preserve">http://portalarquivos.saude.gov.br/images/pdf/2015/outubro/19/Normas-tecnicas-profilaxia-raiva.pdf</w:t>
        </w:r>
      </w:hyperlink>
      <w:r w:rsidDel="00000000" w:rsidR="00000000" w:rsidRPr="00000000">
        <w:rPr>
          <w:rtl w:val="0"/>
        </w:rPr>
      </w:r>
    </w:p>
    <w:p w:rsidR="00000000" w:rsidDel="00000000" w:rsidP="00000000" w:rsidRDefault="00000000" w:rsidRPr="00000000" w14:paraId="000005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BRASIL. Ministério da Saúde. Secretaria de vigilância em saúde.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Guia de vigilância em saúde.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Brasília, 2017a. Disponível em:</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https://portalarquivos.saude.gov.br/images/pdf/2017/outubro/06/Volume-Unico-2017.pdf. </w:t>
      </w:r>
    </w:p>
    <w:p w:rsidR="00000000" w:rsidDel="00000000" w:rsidP="00000000" w:rsidRDefault="00000000" w:rsidRPr="00000000" w14:paraId="000005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BRASIL. Ministério da Saúde (BR). Secretaria de Vigilância em Saúde. Departamento de Vigilância das Doenças Transmissíveis.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Nota Informativa nº 26-SEI/2017-CGPNI/DEVIT/SVS/MS.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Informa sobre alterações no esquema de vacinação da raiva humana pós-exposição e dá outras orientações. Protocolo Raiva 2017b. Brasília: Ministério da Saúde; 2017b.</w:t>
      </w:r>
    </w:p>
    <w:p w:rsidR="00000000" w:rsidDel="00000000" w:rsidP="00000000" w:rsidRDefault="00000000" w:rsidRPr="00000000" w14:paraId="000005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BRASIL. Ministério da saúde. Secretaria de vigilância em saúde. Departamento de vigilância epidemiológica.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Guia de vigilância em saúde: volume único</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2019. Disponível em: https://bvsms.saude.gov.br/bvs/publicacoes/guia_vigilancia_saude_3ed.pdf </w:t>
      </w:r>
      <w:r w:rsidDel="00000000" w:rsidR="00000000" w:rsidRPr="00000000">
        <w:rPr>
          <w:rtl w:val="0"/>
        </w:rPr>
      </w:r>
    </w:p>
    <w:p w:rsidR="00000000" w:rsidDel="00000000" w:rsidP="00000000" w:rsidRDefault="00000000" w:rsidRPr="00000000" w14:paraId="000005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BRASIL.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INMET - Instituto Nacional de Meteorologia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2020. Disponível em: http://www. inmet.gov.br/portal/index.php?r¼estacoes/estacoes. </w:t>
      </w:r>
    </w:p>
    <w:p w:rsidR="00000000" w:rsidDel="00000000" w:rsidP="00000000" w:rsidRDefault="00000000" w:rsidRPr="00000000" w14:paraId="000005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3l18frh" w:id="53"/>
      <w:bookmarkEnd w:id="5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BLANTON JD, B. 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Rabies postexposure prophylaxis, New York, 1995-2000.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Emerg Infect Dis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 11, n.  12, p. 1921-1927. 2005. Disponível em: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doi </w:t>
      </w:r>
      <w:hyperlink r:id="rId46">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10.3201/eid1112.041278</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5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CARVALHO, W. O. S.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Características do atendimento prestado pelo serviço de profilaxia da raiva humana na rede municipal de saúde de Maringá-Paraná, no ano de 1997.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Informe Epidemiológico do SUS</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v. 11, n. 1, p. 25-35, 2002.</w:t>
      </w:r>
      <w:r w:rsidDel="00000000" w:rsidR="00000000" w:rsidRPr="00000000">
        <w:rPr>
          <w:rtl w:val="0"/>
        </w:rPr>
      </w:r>
    </w:p>
    <w:p w:rsidR="00000000" w:rsidDel="00000000" w:rsidP="00000000" w:rsidRDefault="00000000" w:rsidRPr="00000000" w14:paraId="000005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CAVALCANTE, K. K.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Profilaxia antirrábica humana pós-exposição: características dos atendimentos no Estado do Ceará, 2007-2015.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Journal of Health &amp; Biological Sciences</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Fortaleza, v. 5, n. 4, p. 337-345, 2017.</w:t>
      </w:r>
    </w:p>
    <w:p w:rsidR="00000000" w:rsidDel="00000000" w:rsidP="00000000" w:rsidRDefault="00000000" w:rsidRPr="00000000" w14:paraId="000005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CAVALCANTE, K. K.S.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Raiva humana: avaliação da prevalência das condutas profiláticas pós-exposição no Ceará, Brasil, 2007-2015.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Epidemiologia e Serviços de Saúde</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v. 27, p. e2017547, 2018. Disponível em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http://www.repositorio.ufc.br/handle/riufc/34722</w:t>
      </w:r>
    </w:p>
    <w:p w:rsidR="00000000" w:rsidDel="00000000" w:rsidP="00000000" w:rsidRDefault="00000000" w:rsidRPr="00000000" w14:paraId="000005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COSTA WA, À.C.A.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Manual técnico do Instituto Pasteur: profilaxia da raiva humana. São Paulo: Instituto Pasteur; 2000.</w:t>
      </w:r>
      <w:r w:rsidDel="00000000" w:rsidR="00000000" w:rsidRPr="00000000">
        <w:rPr>
          <w:rtl w:val="0"/>
        </w:rPr>
      </w:r>
    </w:p>
    <w:p w:rsidR="00000000" w:rsidDel="00000000" w:rsidP="00000000" w:rsidRDefault="00000000" w:rsidRPr="00000000" w14:paraId="000005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 SILVA, W.A.; AMETLLA, V.C.; JULIANO, R.S. Canine rabies in Corumbá town, Mato Grosso do Sul state, Brazil, 2015: case report. Acta Vet Bras, v. 9, p. 386-390, 2016.</w:t>
      </w:r>
    </w:p>
    <w:p w:rsidR="00000000" w:rsidDel="00000000" w:rsidP="00000000" w:rsidRDefault="00000000" w:rsidRPr="00000000" w14:paraId="000005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DEAN, A. 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Epi info™, a Data Base and Statistics Program for Public Health Professionals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CDC, Atlanta, GA, USA, 2011.</w:t>
      </w:r>
    </w:p>
    <w:p w:rsidR="00000000" w:rsidDel="00000000" w:rsidP="00000000" w:rsidRDefault="00000000" w:rsidRPr="00000000" w14:paraId="000005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ESTIMA, N. M.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Descrição das notificações de atendimento antirrábico humano para profilaxia pós-exposição no Brasil, 2014-2019.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Epidemiologia e Serviços de Saúde</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v. 31, n. 2, p. 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2021627,</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2022.</w:t>
      </w:r>
    </w:p>
    <w:p w:rsidR="00000000" w:rsidDel="00000000" w:rsidP="00000000" w:rsidRDefault="00000000" w:rsidRPr="00000000" w14:paraId="000005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FILGUEIRA, A. C.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Profilaxia antirrábica humana: uma análise exploratória dos atendimentos ocorridos em Salgueiro-PE, no ano de 2007.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Epidemiologia e Serviços de Saúde</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v. 20, n. 2, p. 233-244, 2011. Disponível em: https://doi.org/10.1590/S2237-96222022000200002</w:t>
      </w:r>
      <w:r w:rsidDel="00000000" w:rsidR="00000000" w:rsidRPr="00000000">
        <w:rPr>
          <w:rtl w:val="0"/>
        </w:rPr>
      </w:r>
    </w:p>
    <w:p w:rsidR="00000000" w:rsidDel="00000000" w:rsidP="00000000" w:rsidRDefault="00000000" w:rsidRPr="00000000" w14:paraId="000005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FRIAS, D. F. R; LAGES.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Avaliação da conduta de profilaxia antirrábica indicada para pessoas envolvidas em agravos com cães e gatos no município de Jaboticabal, SP, no período de 2000 a 2006.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Revista Brasileira de Epidemiologia</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v. 14, p. 722-732, 2011.Disponível em: https://doi.org/10.1590/S1415-790X2011000400018</w:t>
      </w:r>
    </w:p>
    <w:p w:rsidR="00000000" w:rsidDel="00000000" w:rsidP="00000000" w:rsidRDefault="00000000" w:rsidRPr="00000000" w14:paraId="00000600">
      <w:pPr>
        <w:spacing w:after="0" w:before="288"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MENEZES, J. S</w:t>
      </w:r>
      <w:r w:rsidDel="00000000" w:rsidR="00000000" w:rsidRPr="00000000">
        <w:rPr>
          <w:rFonts w:ascii="Times New Roman" w:cs="Times New Roman" w:eastAsia="Times New Roman" w:hAnsi="Times New Roman"/>
          <w:b w:val="1"/>
          <w:sz w:val="24"/>
          <w:szCs w:val="24"/>
          <w:highlight w:val="white"/>
          <w:rtl w:val="0"/>
        </w:rPr>
        <w:t xml:space="preserve">. Profilaxia da Raiva Humana no Estado do Tocantins, 2013 a 2015</w:t>
      </w:r>
      <w:r w:rsidDel="00000000" w:rsidR="00000000" w:rsidRPr="00000000">
        <w:rPr>
          <w:rFonts w:ascii="Times New Roman" w:cs="Times New Roman" w:eastAsia="Times New Roman" w:hAnsi="Times New Roman"/>
          <w:sz w:val="24"/>
          <w:szCs w:val="24"/>
          <w:highlight w:val="white"/>
          <w:rtl w:val="0"/>
        </w:rPr>
        <w:t xml:space="preserve">. 2017. 62 f. Dissertação (Mestrado Profissional (ISC) - Universidade Federal da Bahia- UFBA. 2017. Disponível em: </w:t>
      </w:r>
      <w:r w:rsidDel="00000000" w:rsidR="00000000" w:rsidRPr="00000000">
        <w:rPr>
          <w:rFonts w:ascii="Times New Roman" w:cs="Times New Roman" w:eastAsia="Times New Roman" w:hAnsi="Times New Roman"/>
          <w:sz w:val="24"/>
          <w:szCs w:val="24"/>
          <w:rtl w:val="0"/>
        </w:rPr>
        <w:t xml:space="preserve">http://repositorio.ufba.br/ri/handle/ri/26070.</w:t>
      </w:r>
      <w:r w:rsidDel="00000000" w:rsidR="00000000" w:rsidRPr="00000000">
        <w:rPr>
          <w:rtl w:val="0"/>
        </w:rPr>
      </w:r>
    </w:p>
    <w:p w:rsidR="00000000" w:rsidDel="00000000" w:rsidP="00000000" w:rsidRDefault="00000000" w:rsidRPr="00000000" w14:paraId="000006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MORIWAKI, A. M.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Avaliação da profilaxia no primeiro atendimento pós-exposição ao vírus da raiva.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Acta Paulista de Enfermagem</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v. 26, p. 428-435, 2013.</w:t>
      </w:r>
    </w:p>
    <w:p w:rsidR="00000000" w:rsidDel="00000000" w:rsidP="00000000" w:rsidRDefault="00000000" w:rsidRPr="00000000" w14:paraId="000006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OLIVEIRA, V. M. R.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Mordedura canina e atendimento antirrábico humano em Minas Gerais.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Arquivo Brasileiro de Medicina Veterinária e Zootecnia</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v. 64, p. 891-898, 2012.</w:t>
      </w:r>
    </w:p>
    <w:p w:rsidR="00000000" w:rsidDel="00000000" w:rsidP="00000000" w:rsidRDefault="00000000" w:rsidRPr="00000000" w14:paraId="000006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QUEIROZ, L.H.; BUSO, D.S.; SILVA, J.E. Aspectos epidemiológicos das agressões por cães sob o ponto de vista do cão agressor e das vítimas.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Veterinária e Zootecnia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 20, n. 3, p. 296-306, 2013.</w:t>
      </w:r>
    </w:p>
    <w:p w:rsidR="00000000" w:rsidDel="00000000" w:rsidP="00000000" w:rsidRDefault="00000000" w:rsidRPr="00000000" w14:paraId="000006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RIBEIRO NETTO, A.; MACHADO, CG Alguns aspectos epidemiológicos da exposição humana ao risco de infecção pelo vírus da raiva, na cidade de São Paulo.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Rev. Inst. Med. Tropa São Paulo</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v. 12, n. 1, p. 16-30, 1970.</w:t>
      </w:r>
    </w:p>
    <w:p w:rsidR="00000000" w:rsidDel="00000000" w:rsidP="00000000" w:rsidRDefault="00000000" w:rsidRPr="00000000" w14:paraId="000006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RISSO, N. H.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Acidente por mordedura, risco potencial na reintrodução da raiva em Uruguaiana/RS</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2019. 37 f.  Dissertação (Especialização)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Medicina Veterinária. Universidade Federal do Pampa. Disponível em: </w:t>
      </w:r>
      <w:hyperlink r:id="rId47">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https://dspace.unipampa.edu.br/bitstream/riu/4939/1/NATALIA%20HORSTMANN%20RISSO.pdf</w:t>
        </w:r>
      </w:hyperlink>
      <w:r w:rsidDel="00000000" w:rsidR="00000000" w:rsidRPr="00000000">
        <w:rPr>
          <w:rtl w:val="0"/>
        </w:rPr>
      </w:r>
    </w:p>
    <w:p w:rsidR="00000000" w:rsidDel="00000000" w:rsidP="00000000" w:rsidRDefault="00000000" w:rsidRPr="00000000" w14:paraId="000006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SILVA, G. M.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Notificações de atendimento antirrábico humano na população do município de Garanhuns, Estado de Pernambuco, Brasil, no período de 2007 a 2010.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Epidemiologia e Serviços de Saúde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 22, n. 1, p. 95-102, 2013.</w:t>
      </w:r>
      <w:r w:rsidDel="00000000" w:rsidR="00000000" w:rsidRPr="00000000">
        <w:rPr>
          <w:rtl w:val="0"/>
        </w:rPr>
      </w:r>
    </w:p>
    <w:p w:rsidR="00000000" w:rsidDel="00000000" w:rsidP="00000000" w:rsidRDefault="00000000" w:rsidRPr="00000000" w14:paraId="000006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SANTOS, C. V. B.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Perfil dos atendimentos antirrábicos humanos no agreste pernambucano, 2010-2012.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Epidemiologia e Serviços de Saúde</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v. 26, p. 161-168, 2017.</w:t>
      </w:r>
    </w:p>
    <w:p w:rsidR="00000000" w:rsidDel="00000000" w:rsidP="00000000" w:rsidRDefault="00000000" w:rsidRPr="00000000" w14:paraId="000006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SCHNEIDER, M. C.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Controle da raiva no Brasil de 1980 a 1990.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Revista de Saúde Pública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 30, p. 196-203, 1996.</w:t>
      </w:r>
    </w:p>
    <w:p w:rsidR="00000000" w:rsidDel="00000000" w:rsidP="00000000" w:rsidRDefault="00000000" w:rsidRPr="00000000" w14:paraId="000006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SOBRAL FILHO, N. C.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Perfil epidemiológico dos atendimentos antirrábicos humanos no Brasil, no período de 2010 a 2017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2019. 52 f. Trabalho de Conclusão de curso. (Medicina). Universidade Federal de Campina Grande. Cajazeiras. Pernambuco. Disponível em: </w:t>
      </w:r>
      <w:hyperlink r:id="rId48">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http://dspace.sti.ufcg.edu.br:8080/jspui/handle/riufcg/11728</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6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VELOSO, R. D.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Motivos de abandono do tratamento antirrábico humano pós-exposição em Porto Alegre (RS, Brasil).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Ciência &amp; Saúde Coletiva</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v. 16, p. 537-546, 2011.</w:t>
      </w:r>
    </w:p>
    <w:p w:rsidR="00000000" w:rsidDel="00000000" w:rsidP="00000000" w:rsidRDefault="00000000" w:rsidRPr="00000000" w14:paraId="000006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VIGILATO, M. A. 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Progress towards eliminating canine rabies: policies and perspectives from Latin America and the Caribbean. Philosophical Transactions of the Royal Society B: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Biological Sciences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 368, n. 1623, p. e20120143, 2013.</w:t>
      </w:r>
      <w:r w:rsidDel="00000000" w:rsidR="00000000" w:rsidRPr="00000000">
        <w:rPr>
          <w:rtl w:val="0"/>
        </w:rPr>
      </w:r>
    </w:p>
    <w:p w:rsidR="00000000" w:rsidDel="00000000" w:rsidP="00000000" w:rsidRDefault="00000000" w:rsidRPr="00000000" w14:paraId="000006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sectPr>
          <w:type w:val="nextPage"/>
          <w:pgSz w:h="16838" w:w="11906" w:orient="portrait"/>
          <w:pgMar w:bottom="1417" w:top="1417" w:left="1701" w:right="1701" w:header="397" w:footer="680"/>
          <w:titlePg w:val="1"/>
        </w:sect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WARRELL, M. J. Current rabies vaccines and prophylaxis schedules: preventing rabies before and after exposure.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Travel medicine and infectious disease</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v. 10, n. 1, p. 1-15, 2012.</w:t>
      </w:r>
      <w:r w:rsidDel="00000000" w:rsidR="00000000" w:rsidRPr="00000000">
        <w:br w:type="page"/>
      </w:r>
      <w:r w:rsidDel="00000000" w:rsidR="00000000" w:rsidRPr="00000000">
        <w:rPr>
          <w:rtl w:val="0"/>
        </w:rPr>
      </w:r>
    </w:p>
    <w:p w:rsidR="00000000" w:rsidDel="00000000" w:rsidP="00000000" w:rsidRDefault="00000000" w:rsidRPr="00000000" w14:paraId="0000060D">
      <w:pPr>
        <w:pStyle w:val="Heading1"/>
        <w:rPr>
          <w:smallCaps w:val="0"/>
        </w:rPr>
      </w:pPr>
      <w:bookmarkStart w:colFirst="0" w:colLast="0" w:name="_heading=h.206ipza" w:id="54"/>
      <w:bookmarkEnd w:id="54"/>
      <w:r w:rsidDel="00000000" w:rsidR="00000000" w:rsidRPr="00000000">
        <w:rPr>
          <w:highlight w:val="white"/>
          <w:rtl w:val="0"/>
        </w:rPr>
        <w:t xml:space="preserve">ANEXO 1: </w:t>
      </w:r>
      <w:r w:rsidDel="00000000" w:rsidR="00000000" w:rsidRPr="00000000">
        <w:rPr>
          <w:smallCaps w:val="0"/>
          <w:rtl w:val="0"/>
        </w:rPr>
        <w:t xml:space="preserve">Ficha do Sistema de Informação de Agravos e Notificação</w:t>
      </w:r>
    </w:p>
    <w:p w:rsidR="00000000" w:rsidDel="00000000" w:rsidP="00000000" w:rsidRDefault="00000000" w:rsidRPr="00000000" w14:paraId="0000060E">
      <w:pPr>
        <w:rPr/>
      </w:pPr>
      <w:r w:rsidDel="00000000" w:rsidR="00000000" w:rsidRPr="00000000">
        <w:rPr/>
        <w:drawing>
          <wp:inline distB="0" distT="0" distL="0" distR="0">
            <wp:extent cx="5400040" cy="7634605"/>
            <wp:effectExtent b="0" l="0" r="0" t="0"/>
            <wp:docPr descr="Texto, Carta&#10;&#10;Descrição gerada automaticamente" id="135" name="image46.png"/>
            <a:graphic>
              <a:graphicData uri="http://schemas.openxmlformats.org/drawingml/2006/picture">
                <pic:pic>
                  <pic:nvPicPr>
                    <pic:cNvPr descr="Texto, Carta&#10;&#10;Descrição gerada automaticamente" id="0" name="image46.png"/>
                    <pic:cNvPicPr preferRelativeResize="0"/>
                  </pic:nvPicPr>
                  <pic:blipFill>
                    <a:blip r:embed="rId49"/>
                    <a:srcRect b="0" l="0" r="0" t="0"/>
                    <a:stretch>
                      <a:fillRect/>
                    </a:stretch>
                  </pic:blipFill>
                  <pic:spPr>
                    <a:xfrm>
                      <a:off x="0" y="0"/>
                      <a:ext cx="5400040" cy="7634605"/>
                    </a:xfrm>
                    <a:prstGeom prst="rect"/>
                    <a:ln/>
                  </pic:spPr>
                </pic:pic>
              </a:graphicData>
            </a:graphic>
          </wp:inline>
        </w:drawing>
      </w:r>
      <w:r w:rsidDel="00000000" w:rsidR="00000000" w:rsidRPr="00000000">
        <w:rPr>
          <w:rtl w:val="0"/>
        </w:rPr>
      </w:r>
    </w:p>
    <w:p w:rsidR="00000000" w:rsidDel="00000000" w:rsidP="00000000" w:rsidRDefault="00000000" w:rsidRPr="00000000" w14:paraId="0000060F">
      <w:pPr>
        <w:rPr/>
        <w:sectPr>
          <w:type w:val="nextPage"/>
          <w:pgSz w:h="16838" w:w="11906" w:orient="portrait"/>
          <w:pgMar w:bottom="1417" w:top="1417" w:left="1701" w:right="1701" w:header="397" w:footer="680"/>
          <w:titlePg w:val="1"/>
        </w:sectPr>
      </w:pPr>
      <w:r w:rsidDel="00000000" w:rsidR="00000000" w:rsidRPr="00000000">
        <w:rPr>
          <w:rtl w:val="0"/>
        </w:rPr>
      </w:r>
    </w:p>
    <w:p w:rsidR="00000000" w:rsidDel="00000000" w:rsidP="00000000" w:rsidRDefault="00000000" w:rsidRPr="00000000" w14:paraId="00000610">
      <w:pPr>
        <w:pStyle w:val="Heading1"/>
        <w:rPr>
          <w:smallCaps w:val="0"/>
        </w:rPr>
      </w:pPr>
      <w:bookmarkStart w:colFirst="0" w:colLast="0" w:name="_heading=h.4k668n3" w:id="55"/>
      <w:bookmarkEnd w:id="55"/>
      <w:r w:rsidDel="00000000" w:rsidR="00000000" w:rsidRPr="00000000">
        <w:rPr>
          <w:smallCaps w:val="0"/>
          <w:rtl w:val="0"/>
        </w:rPr>
        <w:t xml:space="preserve">ANEXO </w:t>
      </w:r>
      <w:r w:rsidDel="00000000" w:rsidR="00000000" w:rsidRPr="00000000">
        <w:rPr>
          <w:rtl w:val="0"/>
        </w:rPr>
        <w:t xml:space="preserve">2: </w:t>
      </w:r>
      <w:r w:rsidDel="00000000" w:rsidR="00000000" w:rsidRPr="00000000">
        <w:rPr>
          <w:smallCaps w:val="0"/>
          <w:rtl w:val="0"/>
        </w:rPr>
        <w:t xml:space="preserve">Autorização da Prefeitura Municipal de Feira de Santana</w:t>
      </w:r>
    </w:p>
    <w:p w:rsidR="00000000" w:rsidDel="00000000" w:rsidP="00000000" w:rsidRDefault="00000000" w:rsidRPr="00000000" w14:paraId="00000611">
      <w:pPr>
        <w:rPr/>
      </w:pPr>
      <w:r w:rsidDel="00000000" w:rsidR="00000000" w:rsidRPr="00000000">
        <w:rPr/>
        <w:drawing>
          <wp:inline distB="0" distT="0" distL="0" distR="0">
            <wp:extent cx="5400040" cy="7428865"/>
            <wp:effectExtent b="0" l="0" r="0" t="0"/>
            <wp:docPr id="137" name="image68.png"/>
            <a:graphic>
              <a:graphicData uri="http://schemas.openxmlformats.org/drawingml/2006/picture">
                <pic:pic>
                  <pic:nvPicPr>
                    <pic:cNvPr id="0" name="image68.png"/>
                    <pic:cNvPicPr preferRelativeResize="0"/>
                  </pic:nvPicPr>
                  <pic:blipFill>
                    <a:blip r:embed="rId50"/>
                    <a:srcRect b="0" l="0" r="0" t="0"/>
                    <a:stretch>
                      <a:fillRect/>
                    </a:stretch>
                  </pic:blipFill>
                  <pic:spPr>
                    <a:xfrm>
                      <a:off x="0" y="0"/>
                      <a:ext cx="5400040" cy="7428865"/>
                    </a:xfrm>
                    <a:prstGeom prst="rect"/>
                    <a:ln/>
                  </pic:spPr>
                </pic:pic>
              </a:graphicData>
            </a:graphic>
          </wp:inline>
        </w:drawing>
      </w:r>
      <w:r w:rsidDel="00000000" w:rsidR="00000000" w:rsidRPr="00000000">
        <w:rPr>
          <w:rtl w:val="0"/>
        </w:rPr>
      </w:r>
    </w:p>
    <w:p w:rsidR="00000000" w:rsidDel="00000000" w:rsidP="00000000" w:rsidRDefault="00000000" w:rsidRPr="00000000" w14:paraId="00000612">
      <w:pPr>
        <w:rPr/>
        <w:sectPr>
          <w:type w:val="nextPage"/>
          <w:pgSz w:h="16838" w:w="11906" w:orient="portrait"/>
          <w:pgMar w:bottom="1417" w:top="1417" w:left="1701" w:right="1701" w:header="397" w:footer="680"/>
          <w:titlePg w:val="1"/>
        </w:sectPr>
      </w:pPr>
      <w:r w:rsidDel="00000000" w:rsidR="00000000" w:rsidRPr="00000000">
        <w:rPr>
          <w:rtl w:val="0"/>
        </w:rPr>
      </w:r>
    </w:p>
    <w:p w:rsidR="00000000" w:rsidDel="00000000" w:rsidP="00000000" w:rsidRDefault="00000000" w:rsidRPr="00000000" w14:paraId="00000613">
      <w:pPr>
        <w:pStyle w:val="Heading1"/>
        <w:rPr/>
      </w:pPr>
      <w:bookmarkStart w:colFirst="0" w:colLast="0" w:name="_heading=h.2zbgiuw" w:id="56"/>
      <w:bookmarkEnd w:id="56"/>
      <w:r w:rsidDel="00000000" w:rsidR="00000000" w:rsidRPr="00000000">
        <w:rPr>
          <w:smallCaps w:val="0"/>
          <w:rtl w:val="0"/>
        </w:rPr>
        <w:t xml:space="preserve">ANEXO </w:t>
      </w:r>
      <w:r w:rsidDel="00000000" w:rsidR="00000000" w:rsidRPr="00000000">
        <w:rPr>
          <w:rtl w:val="0"/>
        </w:rPr>
        <w:t xml:space="preserve">3: </w:t>
      </w:r>
      <w:r w:rsidDel="00000000" w:rsidR="00000000" w:rsidRPr="00000000">
        <w:rPr>
          <w:smallCaps w:val="0"/>
          <w:rtl w:val="0"/>
        </w:rPr>
        <w:t xml:space="preserve">Parecer do Comitê de Ética em Pesquisa (CEP)</w:t>
      </w:r>
      <w:r w:rsidDel="00000000" w:rsidR="00000000" w:rsidRPr="00000000">
        <w:rPr>
          <w:rtl w:val="0"/>
        </w:rPr>
      </w:r>
    </w:p>
    <w:p w:rsidR="00000000" w:rsidDel="00000000" w:rsidP="00000000" w:rsidRDefault="00000000" w:rsidRPr="00000000" w14:paraId="00000614">
      <w:pPr>
        <w:rPr/>
      </w:pPr>
      <w:r w:rsidDel="00000000" w:rsidR="00000000" w:rsidRPr="00000000">
        <w:rPr/>
        <w:drawing>
          <wp:inline distB="0" distT="0" distL="0" distR="0">
            <wp:extent cx="5400000" cy="7638993"/>
            <wp:effectExtent b="0" l="0" r="0" t="0"/>
            <wp:docPr descr="Texto, Carta&#10;&#10;Descrição gerada automaticamente" id="139" name="image33.png"/>
            <a:graphic>
              <a:graphicData uri="http://schemas.openxmlformats.org/drawingml/2006/picture">
                <pic:pic>
                  <pic:nvPicPr>
                    <pic:cNvPr descr="Texto, Carta&#10;&#10;Descrição gerada automaticamente" id="0" name="image33.png"/>
                    <pic:cNvPicPr preferRelativeResize="0"/>
                  </pic:nvPicPr>
                  <pic:blipFill>
                    <a:blip r:embed="rId51"/>
                    <a:srcRect b="0" l="0" r="0" t="0"/>
                    <a:stretch>
                      <a:fillRect/>
                    </a:stretch>
                  </pic:blipFill>
                  <pic:spPr>
                    <a:xfrm>
                      <a:off x="0" y="0"/>
                      <a:ext cx="5400000" cy="7638993"/>
                    </a:xfrm>
                    <a:prstGeom prst="rect"/>
                    <a:ln/>
                  </pic:spPr>
                </pic:pic>
              </a:graphicData>
            </a:graphic>
          </wp:inline>
        </w:drawing>
      </w:r>
      <w:r w:rsidDel="00000000" w:rsidR="00000000" w:rsidRPr="00000000">
        <w:rPr>
          <w:rtl w:val="0"/>
        </w:rPr>
      </w:r>
    </w:p>
    <w:p w:rsidR="00000000" w:rsidDel="00000000" w:rsidP="00000000" w:rsidRDefault="00000000" w:rsidRPr="00000000" w14:paraId="00000615">
      <w:pPr>
        <w:rPr/>
        <w:sectPr>
          <w:type w:val="nextPage"/>
          <w:pgSz w:h="16838" w:w="11906" w:orient="portrait"/>
          <w:pgMar w:bottom="1417" w:top="1417" w:left="1701" w:right="1701" w:header="397" w:footer="680"/>
          <w:titlePg w:val="1"/>
        </w:sectPr>
      </w:pPr>
      <w:r w:rsidDel="00000000" w:rsidR="00000000" w:rsidRPr="00000000">
        <w:rPr/>
        <w:drawing>
          <wp:inline distB="0" distT="0" distL="0" distR="0">
            <wp:extent cx="5400040" cy="7639050"/>
            <wp:effectExtent b="0" l="0" r="0" t="0"/>
            <wp:docPr id="141" name="image40.png"/>
            <a:graphic>
              <a:graphicData uri="http://schemas.openxmlformats.org/drawingml/2006/picture">
                <pic:pic>
                  <pic:nvPicPr>
                    <pic:cNvPr id="0" name="image40.png"/>
                    <pic:cNvPicPr preferRelativeResize="0"/>
                  </pic:nvPicPr>
                  <pic:blipFill>
                    <a:blip r:embed="rId52"/>
                    <a:srcRect b="0" l="0" r="0" t="0"/>
                    <a:stretch>
                      <a:fillRect/>
                    </a:stretch>
                  </pic:blipFill>
                  <pic:spPr>
                    <a:xfrm>
                      <a:off x="0" y="0"/>
                      <a:ext cx="5400040" cy="7639050"/>
                    </a:xfrm>
                    <a:prstGeom prst="rect"/>
                    <a:ln/>
                  </pic:spPr>
                </pic:pic>
              </a:graphicData>
            </a:graphic>
          </wp:inline>
        </w:drawing>
      </w:r>
      <w:r w:rsidDel="00000000" w:rsidR="00000000" w:rsidRPr="00000000">
        <w:rPr/>
        <w:drawing>
          <wp:inline distB="0" distT="0" distL="0" distR="0">
            <wp:extent cx="5400040" cy="7639050"/>
            <wp:effectExtent b="0" l="0" r="0" t="0"/>
            <wp:docPr descr="Texto, Carta&#10;&#10;Descrição gerada automaticamente" id="143" name="image38.png"/>
            <a:graphic>
              <a:graphicData uri="http://schemas.openxmlformats.org/drawingml/2006/picture">
                <pic:pic>
                  <pic:nvPicPr>
                    <pic:cNvPr descr="Texto, Carta&#10;&#10;Descrição gerada automaticamente" id="0" name="image38.png"/>
                    <pic:cNvPicPr preferRelativeResize="0"/>
                  </pic:nvPicPr>
                  <pic:blipFill>
                    <a:blip r:embed="rId53"/>
                    <a:srcRect b="0" l="0" r="0" t="0"/>
                    <a:stretch>
                      <a:fillRect/>
                    </a:stretch>
                  </pic:blipFill>
                  <pic:spPr>
                    <a:xfrm>
                      <a:off x="0" y="0"/>
                      <a:ext cx="5400040" cy="7639050"/>
                    </a:xfrm>
                    <a:prstGeom prst="rect"/>
                    <a:ln/>
                  </pic:spPr>
                </pic:pic>
              </a:graphicData>
            </a:graphic>
          </wp:inline>
        </w:drawing>
      </w:r>
      <w:r w:rsidDel="00000000" w:rsidR="00000000" w:rsidRPr="00000000">
        <w:rPr/>
        <w:drawing>
          <wp:inline distB="0" distT="0" distL="0" distR="0">
            <wp:extent cx="5400040" cy="7639050"/>
            <wp:effectExtent b="0" l="0" r="0" t="0"/>
            <wp:docPr descr="Tabela&#10;&#10;Descrição gerada automaticamente" id="144" name="image48.png"/>
            <a:graphic>
              <a:graphicData uri="http://schemas.openxmlformats.org/drawingml/2006/picture">
                <pic:pic>
                  <pic:nvPicPr>
                    <pic:cNvPr descr="Tabela&#10;&#10;Descrição gerada automaticamente" id="0" name="image48.png"/>
                    <pic:cNvPicPr preferRelativeResize="0"/>
                  </pic:nvPicPr>
                  <pic:blipFill>
                    <a:blip r:embed="rId54"/>
                    <a:srcRect b="0" l="0" r="0" t="0"/>
                    <a:stretch>
                      <a:fillRect/>
                    </a:stretch>
                  </pic:blipFill>
                  <pic:spPr>
                    <a:xfrm>
                      <a:off x="0" y="0"/>
                      <a:ext cx="5400040" cy="7639050"/>
                    </a:xfrm>
                    <a:prstGeom prst="rect"/>
                    <a:ln/>
                  </pic:spPr>
                </pic:pic>
              </a:graphicData>
            </a:graphic>
          </wp:inline>
        </w:drawing>
      </w:r>
      <w:r w:rsidDel="00000000" w:rsidR="00000000" w:rsidRPr="00000000">
        <w:rPr/>
        <w:drawing>
          <wp:inline distB="0" distT="0" distL="0" distR="0">
            <wp:extent cx="5400040" cy="7639050"/>
            <wp:effectExtent b="0" l="0" r="0" t="0"/>
            <wp:docPr descr="Tabela&#10;&#10;Descrição gerada automaticamente" id="145" name="image47.png"/>
            <a:graphic>
              <a:graphicData uri="http://schemas.openxmlformats.org/drawingml/2006/picture">
                <pic:pic>
                  <pic:nvPicPr>
                    <pic:cNvPr descr="Tabela&#10;&#10;Descrição gerada automaticamente" id="0" name="image47.png"/>
                    <pic:cNvPicPr preferRelativeResize="0"/>
                  </pic:nvPicPr>
                  <pic:blipFill>
                    <a:blip r:embed="rId55"/>
                    <a:srcRect b="0" l="0" r="0" t="0"/>
                    <a:stretch>
                      <a:fillRect/>
                    </a:stretch>
                  </pic:blipFill>
                  <pic:spPr>
                    <a:xfrm>
                      <a:off x="0" y="0"/>
                      <a:ext cx="5400040" cy="7639050"/>
                    </a:xfrm>
                    <a:prstGeom prst="rect"/>
                    <a:ln/>
                  </pic:spPr>
                </pic:pic>
              </a:graphicData>
            </a:graphic>
          </wp:inline>
        </w:drawing>
      </w:r>
      <w:r w:rsidDel="00000000" w:rsidR="00000000" w:rsidRPr="00000000">
        <w:rPr/>
        <w:drawing>
          <wp:inline distB="0" distT="0" distL="0" distR="0">
            <wp:extent cx="5400040" cy="7639050"/>
            <wp:effectExtent b="0" l="0" r="0" t="0"/>
            <wp:docPr id="146" name="image42.png"/>
            <a:graphic>
              <a:graphicData uri="http://schemas.openxmlformats.org/drawingml/2006/picture">
                <pic:pic>
                  <pic:nvPicPr>
                    <pic:cNvPr id="0" name="image42.png"/>
                    <pic:cNvPicPr preferRelativeResize="0"/>
                  </pic:nvPicPr>
                  <pic:blipFill>
                    <a:blip r:embed="rId56"/>
                    <a:srcRect b="0" l="0" r="0" t="0"/>
                    <a:stretch>
                      <a:fillRect/>
                    </a:stretch>
                  </pic:blipFill>
                  <pic:spPr>
                    <a:xfrm>
                      <a:off x="0" y="0"/>
                      <a:ext cx="5400040" cy="7639050"/>
                    </a:xfrm>
                    <a:prstGeom prst="rect"/>
                    <a:ln/>
                  </pic:spPr>
                </pic:pic>
              </a:graphicData>
            </a:graphic>
          </wp:inline>
        </w:drawing>
      </w:r>
      <w:r w:rsidDel="00000000" w:rsidR="00000000" w:rsidRPr="00000000">
        <w:rPr>
          <w:rtl w:val="0"/>
        </w:rPr>
      </w:r>
    </w:p>
    <w:p w:rsidR="00000000" w:rsidDel="00000000" w:rsidP="00000000" w:rsidRDefault="00000000" w:rsidRPr="00000000" w14:paraId="00000616">
      <w:pPr>
        <w:pStyle w:val="Heading1"/>
        <w:rPr>
          <w:b w:val="0"/>
        </w:rPr>
      </w:pPr>
      <w:bookmarkStart w:colFirst="0" w:colLast="0" w:name="_heading=h.1egqt2p" w:id="57"/>
      <w:bookmarkEnd w:id="57"/>
      <w:r w:rsidDel="00000000" w:rsidR="00000000" w:rsidRPr="00000000">
        <w:rPr>
          <w:rFonts w:ascii="Times New Roman" w:cs="Times New Roman" w:eastAsia="Times New Roman" w:hAnsi="Times New Roman"/>
          <w:b w:val="1"/>
          <w:smallCaps w:val="1"/>
          <w:sz w:val="24"/>
          <w:szCs w:val="24"/>
          <w:rtl w:val="0"/>
        </w:rPr>
        <w:t xml:space="preserve">APÊNDICE 1:</w:t>
      </w:r>
      <w:r w:rsidDel="00000000" w:rsidR="00000000" w:rsidRPr="00000000">
        <w:rPr>
          <w:b w:val="0"/>
          <w:rtl w:val="0"/>
        </w:rPr>
        <w:t xml:space="preserve"> </w:t>
      </w:r>
      <w:r w:rsidDel="00000000" w:rsidR="00000000" w:rsidRPr="00000000">
        <w:rPr>
          <w:rtl w:val="0"/>
        </w:rPr>
        <w:t xml:space="preserve"> </w:t>
      </w:r>
      <w:r w:rsidDel="00000000" w:rsidR="00000000" w:rsidRPr="00000000">
        <w:rPr>
          <w:b w:val="0"/>
          <w:smallCaps w:val="0"/>
          <w:rtl w:val="0"/>
        </w:rPr>
        <w:t xml:space="preserve">Figuras adicionais sobre a frequência de agravos a seres humanos</w:t>
      </w:r>
      <w:r w:rsidDel="00000000" w:rsidR="00000000" w:rsidRPr="00000000">
        <w:rPr>
          <w:rtl w:val="0"/>
        </w:rPr>
      </w:r>
    </w:p>
    <w:p w:rsidR="00000000" w:rsidDel="00000000" w:rsidP="00000000" w:rsidRDefault="00000000" w:rsidRPr="00000000" w14:paraId="00000617">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60" w:before="120" w:line="240" w:lineRule="auto"/>
        <w:ind w:left="1134" w:right="0" w:hanging="1134"/>
        <w:jc w:val="both"/>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heading=h.3ygebqi" w:id="58"/>
      <w:bookmarkEnd w:id="58"/>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Figura 11.</w:t>
        <w:tab/>
        <w:t xml:space="preserve">Frequência absoluta (Fi) dos agravos a seres humanos por cães e gatos, por ano de notificação. Feira de Santana, BA. 2008-2019.</w:t>
      </w:r>
    </w:p>
    <w:p w:rsidR="00000000" w:rsidDel="00000000" w:rsidP="00000000" w:rsidRDefault="00000000" w:rsidRPr="00000000" w14:paraId="000006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400040" cy="3364865"/>
            <wp:effectExtent b="0" l="0" r="0" t="0"/>
            <wp:docPr descr="Gráfico, Gráfico de linhas&#10;&#10;Descrição gerada automaticamente" id="111" name="image4.jpg"/>
            <a:graphic>
              <a:graphicData uri="http://schemas.openxmlformats.org/drawingml/2006/picture">
                <pic:pic>
                  <pic:nvPicPr>
                    <pic:cNvPr descr="Gráfico, Gráfico de linhas&#10;&#10;Descrição gerada automaticamente" id="0" name="image4.jpg"/>
                    <pic:cNvPicPr preferRelativeResize="0"/>
                  </pic:nvPicPr>
                  <pic:blipFill>
                    <a:blip r:embed="rId57"/>
                    <a:srcRect b="0" l="0" r="0" t="0"/>
                    <a:stretch>
                      <a:fillRect/>
                    </a:stretch>
                  </pic:blipFill>
                  <pic:spPr>
                    <a:xfrm>
                      <a:off x="0" y="0"/>
                      <a:ext cx="5400040" cy="3364865"/>
                    </a:xfrm>
                    <a:prstGeom prst="rect"/>
                    <a:ln/>
                  </pic:spPr>
                </pic:pic>
              </a:graphicData>
            </a:graphic>
          </wp:inline>
        </w:drawing>
      </w:r>
      <w:r w:rsidDel="00000000" w:rsidR="00000000" w:rsidRPr="00000000">
        <w:rPr>
          <w:rtl w:val="0"/>
        </w:rPr>
      </w:r>
    </w:p>
    <w:p w:rsidR="00000000" w:rsidDel="00000000" w:rsidP="00000000" w:rsidRDefault="00000000" w:rsidRPr="00000000" w14:paraId="000006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60" w:before="120" w:line="240" w:lineRule="auto"/>
        <w:ind w:left="1134" w:right="0" w:hanging="1134"/>
        <w:jc w:val="both"/>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heading=h.2dlolyb" w:id="59"/>
      <w:bookmarkEnd w:id="59"/>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Figura 12.</w:t>
        <w:tab/>
        <w:t xml:space="preserve">Frequência absoluta (Fi) dos agravos a seres humanos por herbívoros, silvestres e sinantrópicos, por ano de notificação. Feira de Santana, BA. 2008-2019.</w:t>
      </w:r>
    </w:p>
    <w:p w:rsidR="00000000" w:rsidDel="00000000" w:rsidP="00000000" w:rsidRDefault="00000000" w:rsidRPr="00000000" w14:paraId="0000061A">
      <w:pPr>
        <w:jc w:val="center"/>
        <w:rPr/>
      </w:pPr>
      <w:r w:rsidDel="00000000" w:rsidR="00000000" w:rsidRPr="00000000">
        <w:rPr/>
        <w:drawing>
          <wp:inline distB="0" distT="0" distL="0" distR="0">
            <wp:extent cx="5400040" cy="3364865"/>
            <wp:effectExtent b="0" l="0" r="0" t="0"/>
            <wp:docPr descr="Gráfico, Gráfico de linhas&#10;&#10;Descrição gerada automaticamente" id="113" name="image25.jpg"/>
            <a:graphic>
              <a:graphicData uri="http://schemas.openxmlformats.org/drawingml/2006/picture">
                <pic:pic>
                  <pic:nvPicPr>
                    <pic:cNvPr descr="Gráfico, Gráfico de linhas&#10;&#10;Descrição gerada automaticamente" id="0" name="image25.jpg"/>
                    <pic:cNvPicPr preferRelativeResize="0"/>
                  </pic:nvPicPr>
                  <pic:blipFill>
                    <a:blip r:embed="rId58"/>
                    <a:srcRect b="0" l="0" r="0" t="0"/>
                    <a:stretch>
                      <a:fillRect/>
                    </a:stretch>
                  </pic:blipFill>
                  <pic:spPr>
                    <a:xfrm>
                      <a:off x="0" y="0"/>
                      <a:ext cx="5400040" cy="3364865"/>
                    </a:xfrm>
                    <a:prstGeom prst="rect"/>
                    <a:ln/>
                  </pic:spPr>
                </pic:pic>
              </a:graphicData>
            </a:graphic>
          </wp:inline>
        </w:drawing>
      </w:r>
      <w:r w:rsidDel="00000000" w:rsidR="00000000" w:rsidRPr="00000000">
        <w:rPr>
          <w:rtl w:val="0"/>
        </w:rPr>
      </w:r>
    </w:p>
    <w:p w:rsidR="00000000" w:rsidDel="00000000" w:rsidP="00000000" w:rsidRDefault="00000000" w:rsidRPr="00000000" w14:paraId="0000061B">
      <w:pPr>
        <w:rPr>
          <w:rFonts w:ascii="Times New Roman" w:cs="Times New Roman" w:eastAsia="Times New Roman" w:hAnsi="Times New Roman"/>
          <w:sz w:val="20"/>
          <w:szCs w:val="20"/>
          <w:highlight w:val="yellow"/>
        </w:rPr>
      </w:pPr>
      <w:r w:rsidDel="00000000" w:rsidR="00000000" w:rsidRPr="00000000">
        <w:br w:type="page"/>
      </w:r>
      <w:r w:rsidDel="00000000" w:rsidR="00000000" w:rsidRPr="00000000">
        <w:rPr>
          <w:rtl w:val="0"/>
        </w:rPr>
      </w:r>
    </w:p>
    <w:p w:rsidR="00000000" w:rsidDel="00000000" w:rsidP="00000000" w:rsidRDefault="00000000" w:rsidRPr="00000000" w14:paraId="000006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60" w:before="120" w:line="240" w:lineRule="auto"/>
        <w:ind w:left="1134" w:right="0" w:hanging="1134"/>
        <w:jc w:val="both"/>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heading=h.sqyw64" w:id="60"/>
      <w:bookmarkEnd w:id="60"/>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Figura 13.</w:t>
        <w:tab/>
        <w:t xml:space="preserve">Mapas de significância (A e B) de autocorrelação espacial (coeficiente diferencial I de Moran) para os pares de anos 2013x2014 (A) e 2015x2016 (B) das frequências absolutas de agravos a humanos por carnívoros. Feira de Santana, BA. 2008 a 2019.</w:t>
      </w:r>
    </w:p>
    <w:p w:rsidR="00000000" w:rsidDel="00000000" w:rsidP="00000000" w:rsidRDefault="00000000" w:rsidRPr="00000000" w14:paraId="0000061D">
      <w:pPr>
        <w:ind w:right="-285"/>
        <w:rPr>
          <w:b w:val="1"/>
        </w:rPr>
      </w:pPr>
      <w:r w:rsidDel="00000000" w:rsidR="00000000" w:rsidRPr="00000000">
        <w:rPr>
          <w:rFonts w:ascii="Times New Roman" w:cs="Times New Roman" w:eastAsia="Times New Roman" w:hAnsi="Times New Roman"/>
          <w:b w:val="1"/>
        </w:rPr>
        <w:drawing>
          <wp:inline distB="0" distT="0" distL="0" distR="0">
            <wp:extent cx="2565428" cy="1869940"/>
            <wp:effectExtent b="0" l="0" r="0" t="0"/>
            <wp:docPr descr="Uma imagem contendo Mapa&#10;&#10;Descrição gerada automaticamente" id="115" name="image9.png"/>
            <a:graphic>
              <a:graphicData uri="http://schemas.openxmlformats.org/drawingml/2006/picture">
                <pic:pic>
                  <pic:nvPicPr>
                    <pic:cNvPr descr="Uma imagem contendo Mapa&#10;&#10;Descrição gerada automaticamente" id="0" name="image9.png"/>
                    <pic:cNvPicPr preferRelativeResize="0"/>
                  </pic:nvPicPr>
                  <pic:blipFill>
                    <a:blip r:embed="rId59"/>
                    <a:srcRect b="0" l="0" r="0" t="0"/>
                    <a:stretch>
                      <a:fillRect/>
                    </a:stretch>
                  </pic:blipFill>
                  <pic:spPr>
                    <a:xfrm>
                      <a:off x="0" y="0"/>
                      <a:ext cx="2565428" cy="1869940"/>
                    </a:xfrm>
                    <a:prstGeom prst="rect"/>
                    <a:ln/>
                  </pic:spPr>
                </pic:pic>
              </a:graphicData>
            </a:graphic>
          </wp:inline>
        </w:drawing>
      </w:r>
      <w:r w:rsidDel="00000000" w:rsidR="00000000" w:rsidRPr="00000000">
        <w:rPr>
          <w:b w:val="1"/>
          <w:rtl w:val="0"/>
        </w:rPr>
        <w:t xml:space="preserve">A</w:t>
      </w:r>
      <w:r w:rsidDel="00000000" w:rsidR="00000000" w:rsidRPr="00000000">
        <w:rPr>
          <w:rFonts w:ascii="Times New Roman" w:cs="Times New Roman" w:eastAsia="Times New Roman" w:hAnsi="Times New Roman"/>
          <w:b w:val="1"/>
        </w:rPr>
        <w:drawing>
          <wp:inline distB="0" distT="0" distL="0" distR="0">
            <wp:extent cx="2706707" cy="1972918"/>
            <wp:effectExtent b="0" l="0" r="0" t="0"/>
            <wp:docPr descr="Mapa&#10;&#10;Descrição gerada automaticamente" id="117" name="image12.png"/>
            <a:graphic>
              <a:graphicData uri="http://schemas.openxmlformats.org/drawingml/2006/picture">
                <pic:pic>
                  <pic:nvPicPr>
                    <pic:cNvPr descr="Mapa&#10;&#10;Descrição gerada automaticamente" id="0" name="image12.png"/>
                    <pic:cNvPicPr preferRelativeResize="0"/>
                  </pic:nvPicPr>
                  <pic:blipFill>
                    <a:blip r:embed="rId60"/>
                    <a:srcRect b="0" l="0" r="0" t="0"/>
                    <a:stretch>
                      <a:fillRect/>
                    </a:stretch>
                  </pic:blipFill>
                  <pic:spPr>
                    <a:xfrm>
                      <a:off x="0" y="0"/>
                      <a:ext cx="2706707" cy="1972918"/>
                    </a:xfrm>
                    <a:prstGeom prst="rect"/>
                    <a:ln/>
                  </pic:spPr>
                </pic:pic>
              </a:graphicData>
            </a:graphic>
          </wp:inline>
        </w:drawing>
      </w:r>
      <w:r w:rsidDel="00000000" w:rsidR="00000000" w:rsidRPr="00000000">
        <w:rPr>
          <w:b w:val="1"/>
          <w:rtl w:val="0"/>
        </w:rPr>
        <w:t xml:space="preserve">B</w:t>
      </w:r>
    </w:p>
    <w:p w:rsidR="00000000" w:rsidDel="00000000" w:rsidP="00000000" w:rsidRDefault="00000000" w:rsidRPr="00000000" w14:paraId="000006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60" w:before="120" w:line="240" w:lineRule="auto"/>
        <w:ind w:left="1134" w:right="0" w:hanging="1134"/>
        <w:jc w:val="both"/>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heading=h.3cqmetx" w:id="61"/>
      <w:bookmarkEnd w:id="61"/>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Figura 14.</w:t>
        <w:tab/>
        <w:t xml:space="preserve">Mapas de significância (A e B) de autocorrelação espacial (coeficiente diferencial I de Moran) para os pares de anos 2011x2012 (A ) e 2012x2013 (B ) das frequências absolutas de agravos a humanos por herbívoros. Feira de Santana, BA. 2008 a 2019.</w:t>
      </w:r>
    </w:p>
    <w:p w:rsidR="00000000" w:rsidDel="00000000" w:rsidP="00000000" w:rsidRDefault="00000000" w:rsidRPr="00000000" w14:paraId="0000061F">
      <w:pPr>
        <w:ind w:right="-285"/>
        <w:rPr>
          <w:b w:val="1"/>
        </w:rPr>
      </w:pPr>
      <w:r w:rsidDel="00000000" w:rsidR="00000000" w:rsidRPr="00000000">
        <w:rPr>
          <w:rFonts w:ascii="Times New Roman" w:cs="Times New Roman" w:eastAsia="Times New Roman" w:hAnsi="Times New Roman"/>
          <w:sz w:val="20"/>
          <w:szCs w:val="20"/>
        </w:rPr>
        <w:drawing>
          <wp:inline distB="0" distT="0" distL="0" distR="0">
            <wp:extent cx="2732859" cy="1991982"/>
            <wp:effectExtent b="0" l="0" r="0" t="0"/>
            <wp:docPr descr="Mapa&#10;&#10;Descrição gerada automaticamente com confiança média" id="119" name="image30.png"/>
            <a:graphic>
              <a:graphicData uri="http://schemas.openxmlformats.org/drawingml/2006/picture">
                <pic:pic>
                  <pic:nvPicPr>
                    <pic:cNvPr descr="Mapa&#10;&#10;Descrição gerada automaticamente com confiança média" id="0" name="image30.png"/>
                    <pic:cNvPicPr preferRelativeResize="0"/>
                  </pic:nvPicPr>
                  <pic:blipFill>
                    <a:blip r:embed="rId61"/>
                    <a:srcRect b="0" l="0" r="0" t="0"/>
                    <a:stretch>
                      <a:fillRect/>
                    </a:stretch>
                  </pic:blipFill>
                  <pic:spPr>
                    <a:xfrm>
                      <a:off x="0" y="0"/>
                      <a:ext cx="2732859" cy="1991982"/>
                    </a:xfrm>
                    <a:prstGeom prst="rect"/>
                    <a:ln/>
                  </pic:spPr>
                </pic:pic>
              </a:graphicData>
            </a:graphic>
          </wp:inline>
        </w:drawing>
      </w:r>
      <w:r w:rsidDel="00000000" w:rsidR="00000000" w:rsidRPr="00000000">
        <w:rPr>
          <w:b w:val="1"/>
          <w:rtl w:val="0"/>
        </w:rPr>
        <w:t xml:space="preserve">A</w:t>
      </w:r>
      <w:r w:rsidDel="00000000" w:rsidR="00000000" w:rsidRPr="00000000">
        <w:rPr>
          <w:rFonts w:ascii="Times New Roman" w:cs="Times New Roman" w:eastAsia="Times New Roman" w:hAnsi="Times New Roman"/>
          <w:sz w:val="20"/>
          <w:szCs w:val="20"/>
        </w:rPr>
        <w:drawing>
          <wp:inline distB="0" distT="0" distL="0" distR="0">
            <wp:extent cx="2616063" cy="1906850"/>
            <wp:effectExtent b="0" l="0" r="0" t="0"/>
            <wp:docPr descr="Uma imagem contendo Mapa&#10;&#10;Descrição gerada automaticamente" id="121" name="image10.png"/>
            <a:graphic>
              <a:graphicData uri="http://schemas.openxmlformats.org/drawingml/2006/picture">
                <pic:pic>
                  <pic:nvPicPr>
                    <pic:cNvPr descr="Uma imagem contendo Mapa&#10;&#10;Descrição gerada automaticamente" id="0" name="image10.png"/>
                    <pic:cNvPicPr preferRelativeResize="0"/>
                  </pic:nvPicPr>
                  <pic:blipFill>
                    <a:blip r:embed="rId62"/>
                    <a:srcRect b="0" l="0" r="0" t="0"/>
                    <a:stretch>
                      <a:fillRect/>
                    </a:stretch>
                  </pic:blipFill>
                  <pic:spPr>
                    <a:xfrm>
                      <a:off x="0" y="0"/>
                      <a:ext cx="2616063" cy="1906850"/>
                    </a:xfrm>
                    <a:prstGeom prst="rect"/>
                    <a:ln/>
                  </pic:spPr>
                </pic:pic>
              </a:graphicData>
            </a:graphic>
          </wp:inline>
        </w:drawing>
      </w:r>
      <w:r w:rsidDel="00000000" w:rsidR="00000000" w:rsidRPr="00000000">
        <w:rPr>
          <w:b w:val="1"/>
          <w:rtl w:val="0"/>
        </w:rPr>
        <w:t xml:space="preserve">B</w:t>
      </w:r>
    </w:p>
    <w:p w:rsidR="00000000" w:rsidDel="00000000" w:rsidP="00000000" w:rsidRDefault="00000000" w:rsidRPr="00000000" w14:paraId="00000620">
      <w:pPr>
        <w:rPr>
          <w:rFonts w:ascii="Times New Roman" w:cs="Times New Roman" w:eastAsia="Times New Roman" w:hAnsi="Times New Roman"/>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6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60" w:before="120" w:line="240" w:lineRule="auto"/>
        <w:ind w:left="1134" w:right="0" w:hanging="1134"/>
        <w:jc w:val="both"/>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heading=h.1rvwp1q" w:id="62"/>
      <w:bookmarkEnd w:id="62"/>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Figura 15.</w:t>
        <w:tab/>
        <w:t xml:space="preserve">Mapas de significância (A, B e C) de autocorrelação espacial (coeficiente diferencial I de Moran) para os pares de anos 2012x2013 (A), 2013x2014 (B) e 2015x2016 (C) das frequências absolutas de agravos a humanos por silvestres. Feira de Santana, BA. 2008 a 2019.</w:t>
      </w:r>
    </w:p>
    <w:p w:rsidR="00000000" w:rsidDel="00000000" w:rsidP="00000000" w:rsidRDefault="00000000" w:rsidRPr="00000000" w14:paraId="00000622">
      <w:pPr>
        <w:ind w:right="-285"/>
        <w:jc w:val="center"/>
        <w:rPr>
          <w:b w:val="1"/>
        </w:rPr>
      </w:pPr>
      <w:r w:rsidDel="00000000" w:rsidR="00000000" w:rsidRPr="00000000">
        <w:rPr>
          <w:rFonts w:ascii="Times New Roman" w:cs="Times New Roman" w:eastAsia="Times New Roman" w:hAnsi="Times New Roman"/>
          <w:sz w:val="20"/>
          <w:szCs w:val="20"/>
        </w:rPr>
        <w:drawing>
          <wp:inline distB="0" distT="0" distL="0" distR="0">
            <wp:extent cx="2682740" cy="1955451"/>
            <wp:effectExtent b="0" l="0" r="0" t="0"/>
            <wp:docPr descr="Mapa&#10;&#10;Descrição gerada automaticamente" id="122" name="image29.png"/>
            <a:graphic>
              <a:graphicData uri="http://schemas.openxmlformats.org/drawingml/2006/picture">
                <pic:pic>
                  <pic:nvPicPr>
                    <pic:cNvPr descr="Mapa&#10;&#10;Descrição gerada automaticamente" id="0" name="image29.png"/>
                    <pic:cNvPicPr preferRelativeResize="0"/>
                  </pic:nvPicPr>
                  <pic:blipFill>
                    <a:blip r:embed="rId63"/>
                    <a:srcRect b="0" l="0" r="0" t="0"/>
                    <a:stretch>
                      <a:fillRect/>
                    </a:stretch>
                  </pic:blipFill>
                  <pic:spPr>
                    <a:xfrm>
                      <a:off x="0" y="0"/>
                      <a:ext cx="2682740" cy="1955451"/>
                    </a:xfrm>
                    <a:prstGeom prst="rect"/>
                    <a:ln/>
                  </pic:spPr>
                </pic:pic>
              </a:graphicData>
            </a:graphic>
          </wp:inline>
        </w:drawing>
      </w:r>
      <w:r w:rsidDel="00000000" w:rsidR="00000000" w:rsidRPr="00000000">
        <w:rPr>
          <w:b w:val="1"/>
          <w:rtl w:val="0"/>
        </w:rPr>
        <w:t xml:space="preserve">A</w:t>
      </w:r>
      <w:r w:rsidDel="00000000" w:rsidR="00000000" w:rsidRPr="00000000">
        <w:rPr>
          <w:rFonts w:ascii="Times New Roman" w:cs="Times New Roman" w:eastAsia="Times New Roman" w:hAnsi="Times New Roman"/>
          <w:b w:val="1"/>
          <w:sz w:val="20"/>
          <w:szCs w:val="20"/>
        </w:rPr>
        <w:drawing>
          <wp:inline distB="0" distT="0" distL="0" distR="0">
            <wp:extent cx="2792454" cy="2035421"/>
            <wp:effectExtent b="0" l="0" r="0" t="0"/>
            <wp:docPr descr="Uma imagem contendo Esquemático&#10;&#10;Descrição gerada automaticamente" id="123" name="image45.png"/>
            <a:graphic>
              <a:graphicData uri="http://schemas.openxmlformats.org/drawingml/2006/picture">
                <pic:pic>
                  <pic:nvPicPr>
                    <pic:cNvPr descr="Uma imagem contendo Esquemático&#10;&#10;Descrição gerada automaticamente" id="0" name="image45.png"/>
                    <pic:cNvPicPr preferRelativeResize="0"/>
                  </pic:nvPicPr>
                  <pic:blipFill>
                    <a:blip r:embed="rId64"/>
                    <a:srcRect b="0" l="0" r="0" t="0"/>
                    <a:stretch>
                      <a:fillRect/>
                    </a:stretch>
                  </pic:blipFill>
                  <pic:spPr>
                    <a:xfrm>
                      <a:off x="0" y="0"/>
                      <a:ext cx="2792454" cy="2035421"/>
                    </a:xfrm>
                    <a:prstGeom prst="rect"/>
                    <a:ln/>
                  </pic:spPr>
                </pic:pic>
              </a:graphicData>
            </a:graphic>
          </wp:inline>
        </w:drawing>
      </w:r>
      <w:r w:rsidDel="00000000" w:rsidR="00000000" w:rsidRPr="00000000">
        <w:rPr>
          <w:b w:val="1"/>
          <w:rtl w:val="0"/>
        </w:rPr>
        <w:t xml:space="preserve">B</w:t>
      </w:r>
    </w:p>
    <w:p w:rsidR="00000000" w:rsidDel="00000000" w:rsidP="00000000" w:rsidRDefault="00000000" w:rsidRPr="00000000" w14:paraId="00000623">
      <w:pPr>
        <w:ind w:left="-426" w:right="-285" w:firstLine="0"/>
        <w:jc w:val="center"/>
        <w:rPr>
          <w:b w:val="1"/>
        </w:rPr>
      </w:pPr>
      <w:r w:rsidDel="00000000" w:rsidR="00000000" w:rsidRPr="00000000">
        <w:rPr>
          <w:rFonts w:ascii="Times New Roman" w:cs="Times New Roman" w:eastAsia="Times New Roman" w:hAnsi="Times New Roman"/>
          <w:sz w:val="20"/>
          <w:szCs w:val="20"/>
        </w:rPr>
        <w:drawing>
          <wp:inline distB="0" distT="0" distL="0" distR="0">
            <wp:extent cx="2880000" cy="2099233"/>
            <wp:effectExtent b="0" l="0" r="0" t="0"/>
            <wp:docPr descr="Mapa&#10;&#10;Descrição gerada automaticamente" id="124" name="image16.png"/>
            <a:graphic>
              <a:graphicData uri="http://schemas.openxmlformats.org/drawingml/2006/picture">
                <pic:pic>
                  <pic:nvPicPr>
                    <pic:cNvPr descr="Mapa&#10;&#10;Descrição gerada automaticamente" id="0" name="image16.png"/>
                    <pic:cNvPicPr preferRelativeResize="0"/>
                  </pic:nvPicPr>
                  <pic:blipFill>
                    <a:blip r:embed="rId65"/>
                    <a:srcRect b="0" l="0" r="0" t="0"/>
                    <a:stretch>
                      <a:fillRect/>
                    </a:stretch>
                  </pic:blipFill>
                  <pic:spPr>
                    <a:xfrm>
                      <a:off x="0" y="0"/>
                      <a:ext cx="2880000" cy="2099233"/>
                    </a:xfrm>
                    <a:prstGeom prst="rect"/>
                    <a:ln/>
                  </pic:spPr>
                </pic:pic>
              </a:graphicData>
            </a:graphic>
          </wp:inline>
        </w:drawing>
      </w:r>
      <w:r w:rsidDel="00000000" w:rsidR="00000000" w:rsidRPr="00000000">
        <w:rPr>
          <w:b w:val="1"/>
          <w:rtl w:val="0"/>
        </w:rPr>
        <w:t xml:space="preserve">C</w:t>
      </w:r>
    </w:p>
    <w:p w:rsidR="00000000" w:rsidDel="00000000" w:rsidP="00000000" w:rsidRDefault="00000000" w:rsidRPr="00000000" w14:paraId="000006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60" w:before="120" w:line="240" w:lineRule="auto"/>
        <w:ind w:left="1134" w:right="0" w:hanging="1134"/>
        <w:jc w:val="both"/>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heading=h.4bvk7pj" w:id="63"/>
      <w:bookmarkEnd w:id="63"/>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Figura 16.</w:t>
        <w:tab/>
        <w:t xml:space="preserve">Mapas de significância (A e B) de autocorrelação espacial bivariado para o período de 2008 a 2019 para herbívoros (A) e silvestres e sinantrópicos (B) das frequências absolutas de agravos a humanos e o índice de desenvolvimento humano (IDH). Feira de Santana, BA. 2008 a 2019.</w:t>
      </w:r>
    </w:p>
    <w:p w:rsidR="00000000" w:rsidDel="00000000" w:rsidP="00000000" w:rsidRDefault="00000000" w:rsidRPr="00000000" w14:paraId="00000625">
      <w:pPr>
        <w:ind w:left="-426" w:right="-285" w:firstLine="0"/>
        <w:jc w:val="center"/>
        <w:rPr>
          <w:b w:val="1"/>
        </w:rPr>
      </w:pPr>
      <w:r w:rsidDel="00000000" w:rsidR="00000000" w:rsidRPr="00000000">
        <w:rPr>
          <w:rtl w:val="0"/>
        </w:rPr>
      </w:r>
    </w:p>
    <w:p w:rsidR="00000000" w:rsidDel="00000000" w:rsidP="00000000" w:rsidRDefault="00000000" w:rsidRPr="00000000" w14:paraId="00000626">
      <w:pPr>
        <w:ind w:right="-285"/>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2572797" cy="1875313"/>
            <wp:effectExtent b="0" l="0" r="0" t="0"/>
            <wp:docPr descr="Mapa&#10;&#10;Descrição gerada automaticamente" id="125" name="image20.png"/>
            <a:graphic>
              <a:graphicData uri="http://schemas.openxmlformats.org/drawingml/2006/picture">
                <pic:pic>
                  <pic:nvPicPr>
                    <pic:cNvPr descr="Mapa&#10;&#10;Descrição gerada automaticamente" id="0" name="image20.png"/>
                    <pic:cNvPicPr preferRelativeResize="0"/>
                  </pic:nvPicPr>
                  <pic:blipFill>
                    <a:blip r:embed="rId66"/>
                    <a:srcRect b="0" l="0" r="0" t="0"/>
                    <a:stretch>
                      <a:fillRect/>
                    </a:stretch>
                  </pic:blipFill>
                  <pic:spPr>
                    <a:xfrm>
                      <a:off x="0" y="0"/>
                      <a:ext cx="2572797" cy="1875313"/>
                    </a:xfrm>
                    <a:prstGeom prst="rect"/>
                    <a:ln/>
                  </pic:spPr>
                </pic:pic>
              </a:graphicData>
            </a:graphic>
          </wp:inline>
        </w:drawing>
      </w:r>
      <w:r w:rsidDel="00000000" w:rsidR="00000000" w:rsidRPr="00000000">
        <w:rPr>
          <w:rFonts w:ascii="Times New Roman" w:cs="Times New Roman" w:eastAsia="Times New Roman" w:hAnsi="Times New Roman"/>
          <w:b w:val="1"/>
          <w:rtl w:val="0"/>
        </w:rPr>
        <w:t xml:space="preserve">A</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Pr>
        <w:drawing>
          <wp:inline distB="0" distT="0" distL="0" distR="0">
            <wp:extent cx="2717794" cy="1981001"/>
            <wp:effectExtent b="0" l="0" r="0" t="0"/>
            <wp:docPr descr="Mapa&#10;&#10;Descrição gerada automaticamente" id="98" name="image7.png"/>
            <a:graphic>
              <a:graphicData uri="http://schemas.openxmlformats.org/drawingml/2006/picture">
                <pic:pic>
                  <pic:nvPicPr>
                    <pic:cNvPr descr="Mapa&#10;&#10;Descrição gerada automaticamente" id="0" name="image7.png"/>
                    <pic:cNvPicPr preferRelativeResize="0"/>
                  </pic:nvPicPr>
                  <pic:blipFill>
                    <a:blip r:embed="rId67"/>
                    <a:srcRect b="0" l="0" r="0" t="0"/>
                    <a:stretch>
                      <a:fillRect/>
                    </a:stretch>
                  </pic:blipFill>
                  <pic:spPr>
                    <a:xfrm>
                      <a:off x="0" y="0"/>
                      <a:ext cx="2717794" cy="1981001"/>
                    </a:xfrm>
                    <a:prstGeom prst="rect"/>
                    <a:ln/>
                  </pic:spPr>
                </pic:pic>
              </a:graphicData>
            </a:graphic>
          </wp:inline>
        </w:drawing>
      </w:r>
      <w:r w:rsidDel="00000000" w:rsidR="00000000" w:rsidRPr="00000000">
        <w:rPr>
          <w:rFonts w:ascii="Times New Roman" w:cs="Times New Roman" w:eastAsia="Times New Roman" w:hAnsi="Times New Roman"/>
          <w:rtl w:val="0"/>
        </w:rPr>
        <w:t xml:space="preserve">B</w:t>
      </w:r>
    </w:p>
    <w:p w:rsidR="00000000" w:rsidDel="00000000" w:rsidP="00000000" w:rsidRDefault="00000000" w:rsidRPr="00000000" w14:paraId="00000627">
      <w:pPr>
        <w:rPr>
          <w:rFonts w:ascii="Times New Roman" w:cs="Times New Roman" w:eastAsia="Times New Roman" w:hAnsi="Times New Roman"/>
          <w:sz w:val="20"/>
          <w:szCs w:val="20"/>
          <w:highlight w:val="yellow"/>
        </w:rPr>
      </w:pPr>
      <w:r w:rsidDel="00000000" w:rsidR="00000000" w:rsidRPr="00000000">
        <w:br w:type="page"/>
      </w:r>
      <w:r w:rsidDel="00000000" w:rsidR="00000000" w:rsidRPr="00000000">
        <w:rPr>
          <w:rtl w:val="0"/>
        </w:rPr>
      </w:r>
    </w:p>
    <w:p w:rsidR="00000000" w:rsidDel="00000000" w:rsidP="00000000" w:rsidRDefault="00000000" w:rsidRPr="00000000" w14:paraId="000006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60" w:before="120" w:line="240" w:lineRule="auto"/>
        <w:ind w:left="1134" w:right="0" w:hanging="1134"/>
        <w:jc w:val="both"/>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heading=h.2r0uhxc" w:id="64"/>
      <w:bookmarkEnd w:id="64"/>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Figura 17.</w:t>
        <w:tab/>
        <w:t xml:space="preserve">Mapas de significância (A e B) de autocorrelação espacial bivariado para o período de 2008 a 2019 para carnívoros (A) e silvestres e sinantrópicos (B) das frequências absolutas de agravos a humanos e o índice de vulnerabilidade da saúde (IVS). Feira de Santana, BA. 2008 a 2019.</w:t>
      </w:r>
    </w:p>
    <w:p w:rsidR="00000000" w:rsidDel="00000000" w:rsidP="00000000" w:rsidRDefault="00000000" w:rsidRPr="00000000" w14:paraId="00000629">
      <w:pPr>
        <w:ind w:right="-285"/>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2A">
      <w:pPr>
        <w:ind w:right="-285"/>
        <w:jc w:val="center"/>
        <w:rPr>
          <w:b w:val="1"/>
        </w:rPr>
      </w:pPr>
      <w:r w:rsidDel="00000000" w:rsidR="00000000" w:rsidRPr="00000000">
        <w:rPr/>
        <w:drawing>
          <wp:inline distB="0" distT="0" distL="0" distR="0">
            <wp:extent cx="2596803" cy="1892809"/>
            <wp:effectExtent b="0" l="0" r="0" t="0"/>
            <wp:docPr descr="Mapa&#10;&#10;Descrição gerada automaticamente" id="99" name="image8.png"/>
            <a:graphic>
              <a:graphicData uri="http://schemas.openxmlformats.org/drawingml/2006/picture">
                <pic:pic>
                  <pic:nvPicPr>
                    <pic:cNvPr descr="Mapa&#10;&#10;Descrição gerada automaticamente" id="0" name="image8.png"/>
                    <pic:cNvPicPr preferRelativeResize="0"/>
                  </pic:nvPicPr>
                  <pic:blipFill>
                    <a:blip r:embed="rId68"/>
                    <a:srcRect b="0" l="0" r="0" t="0"/>
                    <a:stretch>
                      <a:fillRect/>
                    </a:stretch>
                  </pic:blipFill>
                  <pic:spPr>
                    <a:xfrm>
                      <a:off x="0" y="0"/>
                      <a:ext cx="2596803" cy="1892809"/>
                    </a:xfrm>
                    <a:prstGeom prst="rect"/>
                    <a:ln/>
                  </pic:spPr>
                </pic:pic>
              </a:graphicData>
            </a:graphic>
          </wp:inline>
        </w:drawing>
      </w:r>
      <w:r w:rsidDel="00000000" w:rsidR="00000000" w:rsidRPr="00000000">
        <w:rPr>
          <w:b w:val="1"/>
          <w:rtl w:val="0"/>
        </w:rPr>
        <w:t xml:space="preserve">A</w:t>
      </w:r>
      <w:r w:rsidDel="00000000" w:rsidR="00000000" w:rsidRPr="00000000">
        <w:rPr/>
        <w:drawing>
          <wp:inline distB="0" distT="0" distL="0" distR="0">
            <wp:extent cx="2746775" cy="2002126"/>
            <wp:effectExtent b="0" l="0" r="0" t="0"/>
            <wp:docPr id="100" name="image14.png"/>
            <a:graphic>
              <a:graphicData uri="http://schemas.openxmlformats.org/drawingml/2006/picture">
                <pic:pic>
                  <pic:nvPicPr>
                    <pic:cNvPr id="0" name="image14.png"/>
                    <pic:cNvPicPr preferRelativeResize="0"/>
                  </pic:nvPicPr>
                  <pic:blipFill>
                    <a:blip r:embed="rId69"/>
                    <a:srcRect b="0" l="0" r="0" t="0"/>
                    <a:stretch>
                      <a:fillRect/>
                    </a:stretch>
                  </pic:blipFill>
                  <pic:spPr>
                    <a:xfrm>
                      <a:off x="0" y="0"/>
                      <a:ext cx="2746775" cy="2002126"/>
                    </a:xfrm>
                    <a:prstGeom prst="rect"/>
                    <a:ln/>
                  </pic:spPr>
                </pic:pic>
              </a:graphicData>
            </a:graphic>
          </wp:inline>
        </w:drawing>
      </w:r>
      <w:r w:rsidDel="00000000" w:rsidR="00000000" w:rsidRPr="00000000">
        <w:rPr>
          <w:b w:val="1"/>
          <w:rtl w:val="0"/>
        </w:rPr>
        <w:t xml:space="preserve">B</w:t>
      </w:r>
    </w:p>
    <w:p w:rsidR="00000000" w:rsidDel="00000000" w:rsidP="00000000" w:rsidRDefault="00000000" w:rsidRPr="00000000" w14:paraId="0000062B">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62C">
      <w:pPr>
        <w:pStyle w:val="Heading1"/>
        <w:rPr>
          <w:b w:val="0"/>
          <w:smallCaps w:val="0"/>
        </w:rPr>
      </w:pPr>
      <w:bookmarkStart w:colFirst="0" w:colLast="0" w:name="_heading=h.1664s55" w:id="65"/>
      <w:bookmarkEnd w:id="65"/>
      <w:r w:rsidDel="00000000" w:rsidR="00000000" w:rsidRPr="00000000">
        <w:rPr>
          <w:rtl w:val="0"/>
        </w:rPr>
        <w:t xml:space="preserve">APÊNDICE 2:</w:t>
      </w:r>
      <w:r w:rsidDel="00000000" w:rsidR="00000000" w:rsidRPr="00000000">
        <w:rPr>
          <w:b w:val="0"/>
          <w:rtl w:val="0"/>
        </w:rPr>
        <w:t xml:space="preserve"> </w:t>
      </w:r>
      <w:r w:rsidDel="00000000" w:rsidR="00000000" w:rsidRPr="00000000">
        <w:rPr>
          <w:b w:val="0"/>
          <w:smallCaps w:val="0"/>
          <w:rtl w:val="0"/>
        </w:rPr>
        <w:t xml:space="preserve">Tabelas adicionais sobre as frequências dos agravos a seres humanos</w:t>
      </w:r>
    </w:p>
    <w:p w:rsidR="00000000" w:rsidDel="00000000" w:rsidP="00000000" w:rsidRDefault="00000000" w:rsidRPr="00000000" w14:paraId="000006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60" w:before="120" w:line="240" w:lineRule="auto"/>
        <w:ind w:left="1134" w:right="0" w:hanging="1134"/>
        <w:jc w:val="both"/>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heading=h.3q5sasy" w:id="66"/>
      <w:bookmarkEnd w:id="66"/>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Tabela 6.</w:t>
        <w:tab/>
        <w:t xml:space="preserve">Pares de anos em comparação, coeficiente I de autocorrelação espacial diferencial de Moran e pseudo-valor de P calculado para 9999 permutações da frequência absoluta dos agravos a seres humanos, segundo o grupo de espécies. Feira de Santana, BA. 2008-2019.</w:t>
      </w:r>
    </w:p>
    <w:tbl>
      <w:tblPr>
        <w:tblStyle w:val="Table8"/>
        <w:tblW w:w="8504.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418"/>
        <w:gridCol w:w="1181"/>
        <w:gridCol w:w="1181"/>
        <w:gridCol w:w="1181"/>
        <w:gridCol w:w="1181"/>
        <w:gridCol w:w="1181"/>
        <w:gridCol w:w="1181"/>
        <w:tblGridChange w:id="0">
          <w:tblGrid>
            <w:gridCol w:w="1418"/>
            <w:gridCol w:w="1181"/>
            <w:gridCol w:w="1181"/>
            <w:gridCol w:w="1181"/>
            <w:gridCol w:w="1181"/>
            <w:gridCol w:w="1181"/>
            <w:gridCol w:w="1181"/>
          </w:tblGrid>
        </w:tblGridChange>
      </w:tblGrid>
      <w:tr>
        <w:trPr>
          <w:cantSplit w:val="0"/>
          <w:tblHeader w:val="0"/>
        </w:trPr>
        <w:tc>
          <w:tcPr>
            <w:tcBorders>
              <w:top w:color="000000" w:space="0" w:sz="4" w:val="single"/>
              <w:bottom w:color="000000" w:space="0" w:sz="4" w:val="single"/>
            </w:tcBorders>
          </w:tcPr>
          <w:p w:rsidR="00000000" w:rsidDel="00000000" w:rsidP="00000000" w:rsidRDefault="00000000" w:rsidRPr="00000000" w14:paraId="000006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0" w:space="0" w:sz="4" w:val="single"/>
              <w:bottom w:color="000000" w:space="0" w:sz="4" w:val="single"/>
            </w:tcBorders>
          </w:tcPr>
          <w:p w:rsidR="00000000" w:rsidDel="00000000" w:rsidP="00000000" w:rsidRDefault="00000000" w:rsidRPr="00000000" w14:paraId="000006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Carnívoros</w:t>
            </w:r>
          </w:p>
        </w:tc>
        <w:tc>
          <w:tcPr>
            <w:gridSpan w:val="2"/>
            <w:tcBorders>
              <w:top w:color="000000" w:space="0" w:sz="4" w:val="single"/>
              <w:bottom w:color="000000" w:space="0" w:sz="4" w:val="single"/>
            </w:tcBorders>
          </w:tcPr>
          <w:p w:rsidR="00000000" w:rsidDel="00000000" w:rsidP="00000000" w:rsidRDefault="00000000" w:rsidRPr="00000000" w14:paraId="000006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Herbívoros</w:t>
            </w:r>
          </w:p>
        </w:tc>
        <w:tc>
          <w:tcPr>
            <w:gridSpan w:val="2"/>
            <w:tcBorders>
              <w:top w:color="000000" w:space="0" w:sz="4" w:val="single"/>
              <w:bottom w:color="000000" w:space="0" w:sz="4" w:val="single"/>
            </w:tcBorders>
          </w:tcPr>
          <w:p w:rsidR="00000000" w:rsidDel="00000000" w:rsidP="00000000" w:rsidRDefault="00000000" w:rsidRPr="00000000" w14:paraId="000006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Silvestres/Sinantrópicos</w:t>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6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Pares de anos</w:t>
            </w:r>
          </w:p>
        </w:tc>
        <w:tc>
          <w:tcPr>
            <w:tcBorders>
              <w:top w:color="000000" w:space="0" w:sz="4" w:val="single"/>
              <w:bottom w:color="000000" w:space="0" w:sz="4" w:val="single"/>
            </w:tcBorders>
            <w:vAlign w:val="center"/>
          </w:tcPr>
          <w:p w:rsidR="00000000" w:rsidDel="00000000" w:rsidP="00000000" w:rsidRDefault="00000000" w:rsidRPr="00000000" w14:paraId="000006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I</w:t>
            </w:r>
          </w:p>
        </w:tc>
        <w:tc>
          <w:tcPr>
            <w:tcBorders>
              <w:top w:color="000000" w:space="0" w:sz="4" w:val="single"/>
              <w:bottom w:color="000000" w:space="0" w:sz="4" w:val="single"/>
            </w:tcBorders>
            <w:vAlign w:val="center"/>
          </w:tcPr>
          <w:p w:rsidR="00000000" w:rsidDel="00000000" w:rsidP="00000000" w:rsidRDefault="00000000" w:rsidRPr="00000000" w14:paraId="000006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Pseudo-valor de P</w:t>
            </w:r>
          </w:p>
        </w:tc>
        <w:tc>
          <w:tcPr>
            <w:tcBorders>
              <w:top w:color="000000" w:space="0" w:sz="4" w:val="single"/>
              <w:bottom w:color="000000" w:space="0" w:sz="4" w:val="single"/>
            </w:tcBorders>
            <w:vAlign w:val="center"/>
          </w:tcPr>
          <w:p w:rsidR="00000000" w:rsidDel="00000000" w:rsidP="00000000" w:rsidRDefault="00000000" w:rsidRPr="00000000" w14:paraId="000006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I</w:t>
            </w:r>
          </w:p>
        </w:tc>
        <w:tc>
          <w:tcPr>
            <w:tcBorders>
              <w:top w:color="000000" w:space="0" w:sz="4" w:val="single"/>
              <w:bottom w:color="000000" w:space="0" w:sz="4" w:val="single"/>
            </w:tcBorders>
            <w:vAlign w:val="center"/>
          </w:tcPr>
          <w:p w:rsidR="00000000" w:rsidDel="00000000" w:rsidP="00000000" w:rsidRDefault="00000000" w:rsidRPr="00000000" w14:paraId="000006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Pseudo-valor de P</w:t>
            </w:r>
          </w:p>
        </w:tc>
        <w:tc>
          <w:tcPr>
            <w:tcBorders>
              <w:top w:color="000000" w:space="0" w:sz="4" w:val="single"/>
              <w:bottom w:color="000000" w:space="0" w:sz="4" w:val="single"/>
            </w:tcBorders>
            <w:vAlign w:val="center"/>
          </w:tcPr>
          <w:p w:rsidR="00000000" w:rsidDel="00000000" w:rsidP="00000000" w:rsidRDefault="00000000" w:rsidRPr="00000000" w14:paraId="000006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I</w:t>
            </w:r>
          </w:p>
        </w:tc>
        <w:tc>
          <w:tcPr>
            <w:tcBorders>
              <w:top w:color="000000" w:space="0" w:sz="4" w:val="single"/>
              <w:bottom w:color="000000" w:space="0" w:sz="4" w:val="single"/>
            </w:tcBorders>
            <w:vAlign w:val="center"/>
          </w:tcPr>
          <w:p w:rsidR="00000000" w:rsidDel="00000000" w:rsidP="00000000" w:rsidRDefault="00000000" w:rsidRPr="00000000" w14:paraId="000006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Pseudo-valor de P</w:t>
            </w:r>
          </w:p>
        </w:tc>
      </w:tr>
      <w:tr>
        <w:trPr>
          <w:cantSplit w:val="0"/>
          <w:tblHeader w:val="0"/>
        </w:trPr>
        <w:tc>
          <w:tcPr>
            <w:tcBorders>
              <w:top w:color="000000" w:space="0" w:sz="4" w:val="single"/>
            </w:tcBorders>
          </w:tcPr>
          <w:p w:rsidR="00000000" w:rsidDel="00000000" w:rsidP="00000000" w:rsidRDefault="00000000" w:rsidRPr="00000000" w14:paraId="000006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2008 x 2009</w:t>
            </w:r>
          </w:p>
        </w:tc>
        <w:tc>
          <w:tcPr>
            <w:tcBorders>
              <w:top w:color="000000" w:space="0" w:sz="4" w:val="single"/>
            </w:tcBorders>
          </w:tcPr>
          <w:p w:rsidR="00000000" w:rsidDel="00000000" w:rsidP="00000000" w:rsidRDefault="00000000" w:rsidRPr="00000000" w14:paraId="000006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-0,096</w:t>
            </w:r>
          </w:p>
        </w:tc>
        <w:tc>
          <w:tcPr>
            <w:tcBorders>
              <w:top w:color="000000" w:space="0" w:sz="4" w:val="single"/>
            </w:tcBorders>
          </w:tcPr>
          <w:p w:rsidR="00000000" w:rsidDel="00000000" w:rsidP="00000000" w:rsidRDefault="00000000" w:rsidRPr="00000000" w14:paraId="000006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0,0934</w:t>
            </w:r>
          </w:p>
        </w:tc>
        <w:tc>
          <w:tcPr>
            <w:tcBorders>
              <w:top w:color="000000" w:space="0" w:sz="4" w:val="single"/>
            </w:tcBorders>
          </w:tcPr>
          <w:p w:rsidR="00000000" w:rsidDel="00000000" w:rsidP="00000000" w:rsidRDefault="00000000" w:rsidRPr="00000000" w14:paraId="000006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-0,062</w:t>
            </w:r>
          </w:p>
        </w:tc>
        <w:tc>
          <w:tcPr>
            <w:tcBorders>
              <w:top w:color="000000" w:space="0" w:sz="4" w:val="single"/>
            </w:tcBorders>
          </w:tcPr>
          <w:p w:rsidR="00000000" w:rsidDel="00000000" w:rsidP="00000000" w:rsidRDefault="00000000" w:rsidRPr="00000000" w14:paraId="000006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0,2903</w:t>
            </w:r>
          </w:p>
        </w:tc>
        <w:tc>
          <w:tcPr>
            <w:tcBorders>
              <w:top w:color="000000" w:space="0" w:sz="4" w:val="single"/>
            </w:tcBorders>
          </w:tcPr>
          <w:p w:rsidR="00000000" w:rsidDel="00000000" w:rsidP="00000000" w:rsidRDefault="00000000" w:rsidRPr="00000000" w14:paraId="000006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-0,059</w:t>
            </w:r>
          </w:p>
        </w:tc>
        <w:tc>
          <w:tcPr>
            <w:tcBorders>
              <w:top w:color="000000" w:space="0" w:sz="4" w:val="single"/>
            </w:tcBorders>
          </w:tcPr>
          <w:p w:rsidR="00000000" w:rsidDel="00000000" w:rsidP="00000000" w:rsidRDefault="00000000" w:rsidRPr="00000000" w14:paraId="000006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0,2720</w:t>
            </w:r>
          </w:p>
        </w:tc>
      </w:tr>
      <w:tr>
        <w:trPr>
          <w:cantSplit w:val="0"/>
          <w:tblHeader w:val="0"/>
        </w:trPr>
        <w:tc>
          <w:tcPr/>
          <w:p w:rsidR="00000000" w:rsidDel="00000000" w:rsidP="00000000" w:rsidRDefault="00000000" w:rsidRPr="00000000" w14:paraId="000006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2009 x 2010</w:t>
            </w:r>
          </w:p>
        </w:tc>
        <w:tc>
          <w:tcPr/>
          <w:p w:rsidR="00000000" w:rsidDel="00000000" w:rsidP="00000000" w:rsidRDefault="00000000" w:rsidRPr="00000000" w14:paraId="000006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-0,068</w:t>
            </w:r>
          </w:p>
        </w:tc>
        <w:tc>
          <w:tcPr/>
          <w:p w:rsidR="00000000" w:rsidDel="00000000" w:rsidP="00000000" w:rsidRDefault="00000000" w:rsidRPr="00000000" w14:paraId="000006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0,2225</w:t>
            </w:r>
          </w:p>
        </w:tc>
        <w:tc>
          <w:tcPr/>
          <w:p w:rsidR="00000000" w:rsidDel="00000000" w:rsidP="00000000" w:rsidRDefault="00000000" w:rsidRPr="00000000" w14:paraId="000006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-0,091</w:t>
            </w:r>
          </w:p>
        </w:tc>
        <w:tc>
          <w:tcPr/>
          <w:p w:rsidR="00000000" w:rsidDel="00000000" w:rsidP="00000000" w:rsidRDefault="00000000" w:rsidRPr="00000000" w14:paraId="000006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0,1585</w:t>
            </w:r>
          </w:p>
        </w:tc>
        <w:tc>
          <w:tcPr/>
          <w:p w:rsidR="00000000" w:rsidDel="00000000" w:rsidP="00000000" w:rsidRDefault="00000000" w:rsidRPr="00000000" w14:paraId="000006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-0,075</w:t>
            </w:r>
          </w:p>
        </w:tc>
        <w:tc>
          <w:tcPr/>
          <w:p w:rsidR="00000000" w:rsidDel="00000000" w:rsidP="00000000" w:rsidRDefault="00000000" w:rsidRPr="00000000" w14:paraId="000006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0,2214</w:t>
            </w:r>
          </w:p>
        </w:tc>
      </w:tr>
      <w:tr>
        <w:trPr>
          <w:cantSplit w:val="0"/>
          <w:tblHeader w:val="0"/>
        </w:trPr>
        <w:tc>
          <w:tcPr/>
          <w:p w:rsidR="00000000" w:rsidDel="00000000" w:rsidP="00000000" w:rsidRDefault="00000000" w:rsidRPr="00000000" w14:paraId="000006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2010 x 2011</w:t>
            </w:r>
          </w:p>
        </w:tc>
        <w:tc>
          <w:tcPr/>
          <w:p w:rsidR="00000000" w:rsidDel="00000000" w:rsidP="00000000" w:rsidRDefault="00000000" w:rsidRPr="00000000" w14:paraId="000006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-0,115</w:t>
            </w:r>
          </w:p>
        </w:tc>
        <w:tc>
          <w:tcPr/>
          <w:p w:rsidR="00000000" w:rsidDel="00000000" w:rsidP="00000000" w:rsidRDefault="00000000" w:rsidRPr="00000000" w14:paraId="000006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0,0962</w:t>
            </w:r>
          </w:p>
        </w:tc>
        <w:tc>
          <w:tcPr/>
          <w:p w:rsidR="00000000" w:rsidDel="00000000" w:rsidP="00000000" w:rsidRDefault="00000000" w:rsidRPr="00000000" w14:paraId="000006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-0,052</w:t>
            </w:r>
          </w:p>
        </w:tc>
        <w:tc>
          <w:tcPr/>
          <w:p w:rsidR="00000000" w:rsidDel="00000000" w:rsidP="00000000" w:rsidRDefault="00000000" w:rsidRPr="00000000" w14:paraId="000006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0,3308</w:t>
            </w:r>
          </w:p>
        </w:tc>
        <w:tc>
          <w:tcPr/>
          <w:p w:rsidR="00000000" w:rsidDel="00000000" w:rsidP="00000000" w:rsidRDefault="00000000" w:rsidRPr="00000000" w14:paraId="000006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-0,139</w:t>
            </w:r>
          </w:p>
        </w:tc>
        <w:tc>
          <w:tcPr/>
          <w:p w:rsidR="00000000" w:rsidDel="00000000" w:rsidP="00000000" w:rsidRDefault="00000000" w:rsidRPr="00000000" w14:paraId="000006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0,0544</w:t>
            </w:r>
          </w:p>
        </w:tc>
      </w:tr>
      <w:tr>
        <w:trPr>
          <w:cantSplit w:val="0"/>
          <w:tblHeader w:val="0"/>
        </w:trPr>
        <w:tc>
          <w:tcPr/>
          <w:p w:rsidR="00000000" w:rsidDel="00000000" w:rsidP="00000000" w:rsidRDefault="00000000" w:rsidRPr="00000000" w14:paraId="000006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2011 x 2012</w:t>
            </w:r>
          </w:p>
        </w:tc>
        <w:tc>
          <w:tcPr/>
          <w:p w:rsidR="00000000" w:rsidDel="00000000" w:rsidP="00000000" w:rsidRDefault="00000000" w:rsidRPr="00000000" w14:paraId="000006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-0,045</w:t>
            </w:r>
          </w:p>
        </w:tc>
        <w:tc>
          <w:tcPr/>
          <w:p w:rsidR="00000000" w:rsidDel="00000000" w:rsidP="00000000" w:rsidRDefault="00000000" w:rsidRPr="00000000" w14:paraId="000006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0,3208</w:t>
            </w:r>
          </w:p>
        </w:tc>
        <w:tc>
          <w:tcPr/>
          <w:p w:rsidR="00000000" w:rsidDel="00000000" w:rsidP="00000000" w:rsidRDefault="00000000" w:rsidRPr="00000000" w14:paraId="000006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i w:val="0"/>
                <w:smallCaps w:val="0"/>
                <w:strike w:val="0"/>
                <w:color w:val="ff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
                <w:szCs w:val="20"/>
                <w:u w:val="none"/>
                <w:shd w:fill="auto" w:val="clear"/>
                <w:vertAlign w:val="baseline"/>
                <w:rtl w:val="0"/>
              </w:rPr>
              <w:t xml:space="preserve">-0,235</w:t>
            </w:r>
          </w:p>
        </w:tc>
        <w:tc>
          <w:tcPr/>
          <w:p w:rsidR="00000000" w:rsidDel="00000000" w:rsidP="00000000" w:rsidRDefault="00000000" w:rsidRPr="00000000" w14:paraId="000006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i w:val="0"/>
                <w:smallCaps w:val="0"/>
                <w:strike w:val="0"/>
                <w:color w:val="ff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
                <w:szCs w:val="20"/>
                <w:u w:val="none"/>
                <w:shd w:fill="auto" w:val="clear"/>
                <w:vertAlign w:val="baseline"/>
                <w:rtl w:val="0"/>
              </w:rPr>
              <w:t xml:space="preserve">0,0038</w:t>
            </w:r>
          </w:p>
        </w:tc>
        <w:tc>
          <w:tcPr/>
          <w:p w:rsidR="00000000" w:rsidDel="00000000" w:rsidP="00000000" w:rsidRDefault="00000000" w:rsidRPr="00000000" w14:paraId="000006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0,008</w:t>
            </w:r>
          </w:p>
        </w:tc>
        <w:tc>
          <w:tcPr/>
          <w:p w:rsidR="00000000" w:rsidDel="00000000" w:rsidP="00000000" w:rsidRDefault="00000000" w:rsidRPr="00000000" w14:paraId="000006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0,2664</w:t>
            </w:r>
          </w:p>
        </w:tc>
      </w:tr>
      <w:tr>
        <w:trPr>
          <w:cantSplit w:val="0"/>
          <w:tblHeader w:val="0"/>
        </w:trPr>
        <w:tc>
          <w:tcPr/>
          <w:p w:rsidR="00000000" w:rsidDel="00000000" w:rsidP="00000000" w:rsidRDefault="00000000" w:rsidRPr="00000000" w14:paraId="000006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2012 x 2013</w:t>
            </w:r>
          </w:p>
        </w:tc>
        <w:tc>
          <w:tcPr/>
          <w:p w:rsidR="00000000" w:rsidDel="00000000" w:rsidP="00000000" w:rsidRDefault="00000000" w:rsidRPr="00000000" w14:paraId="000006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0,087</w:t>
            </w:r>
          </w:p>
        </w:tc>
        <w:tc>
          <w:tcPr/>
          <w:p w:rsidR="00000000" w:rsidDel="00000000" w:rsidP="00000000" w:rsidRDefault="00000000" w:rsidRPr="00000000" w14:paraId="000006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0,0679</w:t>
            </w:r>
          </w:p>
        </w:tc>
        <w:tc>
          <w:tcPr/>
          <w:p w:rsidR="00000000" w:rsidDel="00000000" w:rsidP="00000000" w:rsidRDefault="00000000" w:rsidRPr="00000000" w14:paraId="000006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i w:val="0"/>
                <w:smallCaps w:val="0"/>
                <w:strike w:val="0"/>
                <w:color w:val="ff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
                <w:szCs w:val="20"/>
                <w:u w:val="none"/>
                <w:shd w:fill="auto" w:val="clear"/>
                <w:vertAlign w:val="baseline"/>
                <w:rtl w:val="0"/>
              </w:rPr>
              <w:t xml:space="preserve">0,105</w:t>
            </w:r>
          </w:p>
        </w:tc>
        <w:tc>
          <w:tcPr/>
          <w:p w:rsidR="00000000" w:rsidDel="00000000" w:rsidP="00000000" w:rsidRDefault="00000000" w:rsidRPr="00000000" w14:paraId="000006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i w:val="0"/>
                <w:smallCaps w:val="0"/>
                <w:strike w:val="0"/>
                <w:color w:val="ff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
                <w:szCs w:val="20"/>
                <w:u w:val="none"/>
                <w:shd w:fill="auto" w:val="clear"/>
                <w:vertAlign w:val="baseline"/>
                <w:rtl w:val="0"/>
              </w:rPr>
              <w:t xml:space="preserve">0,0470</w:t>
            </w:r>
          </w:p>
        </w:tc>
        <w:tc>
          <w:tcPr/>
          <w:p w:rsidR="00000000" w:rsidDel="00000000" w:rsidP="00000000" w:rsidRDefault="00000000" w:rsidRPr="00000000" w14:paraId="000006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i w:val="0"/>
                <w:smallCaps w:val="0"/>
                <w:strike w:val="0"/>
                <w:color w:val="ff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
                <w:szCs w:val="20"/>
                <w:u w:val="none"/>
                <w:shd w:fill="auto" w:val="clear"/>
                <w:vertAlign w:val="baseline"/>
                <w:rtl w:val="0"/>
              </w:rPr>
              <w:t xml:space="preserve">0,130</w:t>
            </w:r>
          </w:p>
        </w:tc>
        <w:tc>
          <w:tcPr/>
          <w:p w:rsidR="00000000" w:rsidDel="00000000" w:rsidP="00000000" w:rsidRDefault="00000000" w:rsidRPr="00000000" w14:paraId="000006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i w:val="0"/>
                <w:smallCaps w:val="0"/>
                <w:strike w:val="0"/>
                <w:color w:val="ff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
                <w:szCs w:val="20"/>
                <w:u w:val="none"/>
                <w:shd w:fill="auto" w:val="clear"/>
                <w:vertAlign w:val="baseline"/>
                <w:rtl w:val="0"/>
              </w:rPr>
              <w:t xml:space="preserve">0,0202</w:t>
            </w:r>
          </w:p>
        </w:tc>
      </w:tr>
      <w:tr>
        <w:trPr>
          <w:cantSplit w:val="0"/>
          <w:tblHeader w:val="0"/>
        </w:trPr>
        <w:tc>
          <w:tcPr/>
          <w:p w:rsidR="00000000" w:rsidDel="00000000" w:rsidP="00000000" w:rsidRDefault="00000000" w:rsidRPr="00000000" w14:paraId="000006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2013 x 2014</w:t>
            </w:r>
          </w:p>
        </w:tc>
        <w:tc>
          <w:tcPr/>
          <w:p w:rsidR="00000000" w:rsidDel="00000000" w:rsidP="00000000" w:rsidRDefault="00000000" w:rsidRPr="00000000" w14:paraId="000006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i w:val="0"/>
                <w:smallCaps w:val="0"/>
                <w:strike w:val="0"/>
                <w:color w:val="ff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
                <w:szCs w:val="20"/>
                <w:u w:val="none"/>
                <w:shd w:fill="auto" w:val="clear"/>
                <w:vertAlign w:val="baseline"/>
                <w:rtl w:val="0"/>
              </w:rPr>
              <w:t xml:space="preserve">0,133</w:t>
            </w:r>
          </w:p>
        </w:tc>
        <w:tc>
          <w:tcPr/>
          <w:p w:rsidR="00000000" w:rsidDel="00000000" w:rsidP="00000000" w:rsidRDefault="00000000" w:rsidRPr="00000000" w14:paraId="000006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i w:val="0"/>
                <w:smallCaps w:val="0"/>
                <w:strike w:val="0"/>
                <w:color w:val="ff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
                <w:szCs w:val="20"/>
                <w:u w:val="none"/>
                <w:shd w:fill="auto" w:val="clear"/>
                <w:vertAlign w:val="baseline"/>
                <w:rtl w:val="0"/>
              </w:rPr>
              <w:t xml:space="preserve">0,0303</w:t>
            </w:r>
          </w:p>
        </w:tc>
        <w:tc>
          <w:tcPr/>
          <w:p w:rsidR="00000000" w:rsidDel="00000000" w:rsidP="00000000" w:rsidRDefault="00000000" w:rsidRPr="00000000" w14:paraId="000006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0,049</w:t>
            </w:r>
          </w:p>
        </w:tc>
        <w:tc>
          <w:tcPr/>
          <w:p w:rsidR="00000000" w:rsidDel="00000000" w:rsidP="00000000" w:rsidRDefault="00000000" w:rsidRPr="00000000" w14:paraId="000006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0,1095</w:t>
            </w:r>
          </w:p>
        </w:tc>
        <w:tc>
          <w:tcPr/>
          <w:p w:rsidR="00000000" w:rsidDel="00000000" w:rsidP="00000000" w:rsidRDefault="00000000" w:rsidRPr="00000000" w14:paraId="000006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i w:val="0"/>
                <w:smallCaps w:val="0"/>
                <w:strike w:val="0"/>
                <w:color w:val="ff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
                <w:szCs w:val="20"/>
                <w:u w:val="none"/>
                <w:shd w:fill="auto" w:val="clear"/>
                <w:vertAlign w:val="baseline"/>
                <w:rtl w:val="0"/>
              </w:rPr>
              <w:t xml:space="preserve">0,163</w:t>
            </w:r>
          </w:p>
        </w:tc>
        <w:tc>
          <w:tcPr/>
          <w:p w:rsidR="00000000" w:rsidDel="00000000" w:rsidP="00000000" w:rsidRDefault="00000000" w:rsidRPr="00000000" w14:paraId="000006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i w:val="0"/>
                <w:smallCaps w:val="0"/>
                <w:strike w:val="0"/>
                <w:color w:val="ff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
                <w:szCs w:val="20"/>
                <w:u w:val="none"/>
                <w:shd w:fill="auto" w:val="clear"/>
                <w:vertAlign w:val="baseline"/>
                <w:rtl w:val="0"/>
              </w:rPr>
              <w:t xml:space="preserve">0,0152</w:t>
            </w:r>
          </w:p>
        </w:tc>
      </w:tr>
      <w:tr>
        <w:trPr>
          <w:cantSplit w:val="0"/>
          <w:tblHeader w:val="0"/>
        </w:trPr>
        <w:tc>
          <w:tcPr/>
          <w:p w:rsidR="00000000" w:rsidDel="00000000" w:rsidP="00000000" w:rsidRDefault="00000000" w:rsidRPr="00000000" w14:paraId="000006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2014 x 2015</w:t>
            </w:r>
          </w:p>
        </w:tc>
        <w:tc>
          <w:tcPr/>
          <w:p w:rsidR="00000000" w:rsidDel="00000000" w:rsidP="00000000" w:rsidRDefault="00000000" w:rsidRPr="00000000" w14:paraId="000006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0,015</w:t>
            </w:r>
          </w:p>
        </w:tc>
        <w:tc>
          <w:tcPr/>
          <w:p w:rsidR="00000000" w:rsidDel="00000000" w:rsidP="00000000" w:rsidRDefault="00000000" w:rsidRPr="00000000" w14:paraId="000006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0,2899</w:t>
            </w:r>
          </w:p>
        </w:tc>
        <w:tc>
          <w:tcPr/>
          <w:p w:rsidR="00000000" w:rsidDel="00000000" w:rsidP="00000000" w:rsidRDefault="00000000" w:rsidRPr="00000000" w14:paraId="000006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0,033</w:t>
            </w:r>
          </w:p>
        </w:tc>
        <w:tc>
          <w:tcPr/>
          <w:p w:rsidR="00000000" w:rsidDel="00000000" w:rsidP="00000000" w:rsidRDefault="00000000" w:rsidRPr="00000000" w14:paraId="000006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0,1833</w:t>
            </w:r>
          </w:p>
        </w:tc>
        <w:tc>
          <w:tcPr/>
          <w:p w:rsidR="00000000" w:rsidDel="00000000" w:rsidP="00000000" w:rsidRDefault="00000000" w:rsidRPr="00000000" w14:paraId="000006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0,060</w:t>
            </w:r>
          </w:p>
        </w:tc>
        <w:tc>
          <w:tcPr/>
          <w:p w:rsidR="00000000" w:rsidDel="00000000" w:rsidP="00000000" w:rsidRDefault="00000000" w:rsidRPr="00000000" w14:paraId="000006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0,1257</w:t>
            </w:r>
          </w:p>
        </w:tc>
      </w:tr>
      <w:tr>
        <w:trPr>
          <w:cantSplit w:val="0"/>
          <w:tblHeader w:val="0"/>
        </w:trPr>
        <w:tc>
          <w:tcPr/>
          <w:p w:rsidR="00000000" w:rsidDel="00000000" w:rsidP="00000000" w:rsidRDefault="00000000" w:rsidRPr="00000000" w14:paraId="000006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2015 x 2016</w:t>
            </w:r>
          </w:p>
        </w:tc>
        <w:tc>
          <w:tcPr/>
          <w:p w:rsidR="00000000" w:rsidDel="00000000" w:rsidP="00000000" w:rsidRDefault="00000000" w:rsidRPr="00000000" w14:paraId="000006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i w:val="0"/>
                <w:smallCaps w:val="0"/>
                <w:strike w:val="0"/>
                <w:color w:val="ff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
                <w:szCs w:val="20"/>
                <w:u w:val="none"/>
                <w:shd w:fill="auto" w:val="clear"/>
                <w:vertAlign w:val="baseline"/>
                <w:rtl w:val="0"/>
              </w:rPr>
              <w:t xml:space="preserve">-0,154</w:t>
            </w:r>
          </w:p>
        </w:tc>
        <w:tc>
          <w:tcPr/>
          <w:p w:rsidR="00000000" w:rsidDel="00000000" w:rsidP="00000000" w:rsidRDefault="00000000" w:rsidRPr="00000000" w14:paraId="000006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i w:val="0"/>
                <w:smallCaps w:val="0"/>
                <w:strike w:val="0"/>
                <w:color w:val="ff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
                <w:szCs w:val="20"/>
                <w:u w:val="none"/>
                <w:shd w:fill="auto" w:val="clear"/>
                <w:vertAlign w:val="baseline"/>
                <w:rtl w:val="0"/>
              </w:rPr>
              <w:t xml:space="preserve">0,0343</w:t>
            </w:r>
          </w:p>
        </w:tc>
        <w:tc>
          <w:tcPr/>
          <w:p w:rsidR="00000000" w:rsidDel="00000000" w:rsidP="00000000" w:rsidRDefault="00000000" w:rsidRPr="00000000" w14:paraId="000006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-0,065</w:t>
            </w:r>
          </w:p>
        </w:tc>
        <w:tc>
          <w:tcPr/>
          <w:p w:rsidR="00000000" w:rsidDel="00000000" w:rsidP="00000000" w:rsidRDefault="00000000" w:rsidRPr="00000000" w14:paraId="000006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0,2362</w:t>
            </w:r>
          </w:p>
        </w:tc>
        <w:tc>
          <w:tcPr/>
          <w:p w:rsidR="00000000" w:rsidDel="00000000" w:rsidP="00000000" w:rsidRDefault="00000000" w:rsidRPr="00000000" w14:paraId="000006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i w:val="0"/>
                <w:smallCaps w:val="0"/>
                <w:strike w:val="0"/>
                <w:color w:val="ff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
                <w:szCs w:val="20"/>
                <w:u w:val="none"/>
                <w:shd w:fill="auto" w:val="clear"/>
                <w:vertAlign w:val="baseline"/>
                <w:rtl w:val="0"/>
              </w:rPr>
              <w:t xml:space="preserve">-0,146</w:t>
            </w:r>
          </w:p>
        </w:tc>
        <w:tc>
          <w:tcPr/>
          <w:p w:rsidR="00000000" w:rsidDel="00000000" w:rsidP="00000000" w:rsidRDefault="00000000" w:rsidRPr="00000000" w14:paraId="000006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i w:val="0"/>
                <w:smallCaps w:val="0"/>
                <w:strike w:val="0"/>
                <w:color w:val="ff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
                <w:szCs w:val="20"/>
                <w:u w:val="none"/>
                <w:shd w:fill="auto" w:val="clear"/>
                <w:vertAlign w:val="baseline"/>
                <w:rtl w:val="0"/>
              </w:rPr>
              <w:t xml:space="preserve">0,0486</w:t>
            </w:r>
          </w:p>
        </w:tc>
      </w:tr>
      <w:tr>
        <w:trPr>
          <w:cantSplit w:val="0"/>
          <w:tblHeader w:val="0"/>
        </w:trPr>
        <w:tc>
          <w:tcPr/>
          <w:p w:rsidR="00000000" w:rsidDel="00000000" w:rsidP="00000000" w:rsidRDefault="00000000" w:rsidRPr="00000000" w14:paraId="000006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2016 x 2017</w:t>
            </w:r>
          </w:p>
        </w:tc>
        <w:tc>
          <w:tcPr/>
          <w:p w:rsidR="00000000" w:rsidDel="00000000" w:rsidP="00000000" w:rsidRDefault="00000000" w:rsidRPr="00000000" w14:paraId="000006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0,007</w:t>
            </w:r>
          </w:p>
        </w:tc>
        <w:tc>
          <w:tcPr/>
          <w:p w:rsidR="00000000" w:rsidDel="00000000" w:rsidP="00000000" w:rsidRDefault="00000000" w:rsidRPr="00000000" w14:paraId="000006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0,3448</w:t>
            </w:r>
          </w:p>
        </w:tc>
        <w:tc>
          <w:tcPr/>
          <w:p w:rsidR="00000000" w:rsidDel="00000000" w:rsidP="00000000" w:rsidRDefault="00000000" w:rsidRPr="00000000" w14:paraId="000006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0,019</w:t>
            </w:r>
          </w:p>
        </w:tc>
        <w:tc>
          <w:tcPr/>
          <w:p w:rsidR="00000000" w:rsidDel="00000000" w:rsidP="00000000" w:rsidRDefault="00000000" w:rsidRPr="00000000" w14:paraId="000006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0,2319</w:t>
            </w:r>
          </w:p>
        </w:tc>
        <w:tc>
          <w:tcPr/>
          <w:p w:rsidR="00000000" w:rsidDel="00000000" w:rsidP="00000000" w:rsidRDefault="00000000" w:rsidRPr="00000000" w14:paraId="000006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-0,024</w:t>
            </w:r>
          </w:p>
        </w:tc>
        <w:tc>
          <w:tcPr/>
          <w:p w:rsidR="00000000" w:rsidDel="00000000" w:rsidP="00000000" w:rsidRDefault="00000000" w:rsidRPr="00000000" w14:paraId="000006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0,4420</w:t>
            </w:r>
          </w:p>
        </w:tc>
      </w:tr>
      <w:tr>
        <w:trPr>
          <w:cantSplit w:val="0"/>
          <w:tblHeader w:val="0"/>
        </w:trPr>
        <w:tc>
          <w:tcPr/>
          <w:p w:rsidR="00000000" w:rsidDel="00000000" w:rsidP="00000000" w:rsidRDefault="00000000" w:rsidRPr="00000000" w14:paraId="000006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2017 x 2018</w:t>
            </w:r>
          </w:p>
        </w:tc>
        <w:tc>
          <w:tcPr/>
          <w:p w:rsidR="00000000" w:rsidDel="00000000" w:rsidP="00000000" w:rsidRDefault="00000000" w:rsidRPr="00000000" w14:paraId="000006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0,032</w:t>
            </w:r>
          </w:p>
        </w:tc>
        <w:tc>
          <w:tcPr/>
          <w:p w:rsidR="00000000" w:rsidDel="00000000" w:rsidP="00000000" w:rsidRDefault="00000000" w:rsidRPr="00000000" w14:paraId="000006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0,2363</w:t>
            </w:r>
          </w:p>
        </w:tc>
        <w:tc>
          <w:tcPr/>
          <w:p w:rsidR="00000000" w:rsidDel="00000000" w:rsidP="00000000" w:rsidRDefault="00000000" w:rsidRPr="00000000" w14:paraId="000006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0,024</w:t>
            </w:r>
          </w:p>
        </w:tc>
        <w:tc>
          <w:tcPr/>
          <w:p w:rsidR="00000000" w:rsidDel="00000000" w:rsidP="00000000" w:rsidRDefault="00000000" w:rsidRPr="00000000" w14:paraId="000006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0,2504</w:t>
            </w:r>
          </w:p>
        </w:tc>
        <w:tc>
          <w:tcPr/>
          <w:p w:rsidR="00000000" w:rsidDel="00000000" w:rsidP="00000000" w:rsidRDefault="00000000" w:rsidRPr="00000000" w14:paraId="000006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0,005</w:t>
            </w:r>
          </w:p>
        </w:tc>
        <w:tc>
          <w:tcPr/>
          <w:p w:rsidR="00000000" w:rsidDel="00000000" w:rsidP="00000000" w:rsidRDefault="00000000" w:rsidRPr="00000000" w14:paraId="000006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0,3783</w:t>
            </w:r>
          </w:p>
        </w:tc>
      </w:tr>
      <w:tr>
        <w:trPr>
          <w:cantSplit w:val="0"/>
          <w:tblHeader w:val="0"/>
        </w:trPr>
        <w:tc>
          <w:tcPr>
            <w:tcBorders>
              <w:bottom w:color="000000" w:space="0" w:sz="4" w:val="single"/>
            </w:tcBorders>
          </w:tcPr>
          <w:p w:rsidR="00000000" w:rsidDel="00000000" w:rsidP="00000000" w:rsidRDefault="00000000" w:rsidRPr="00000000" w14:paraId="000006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2018 x 2019</w:t>
            </w:r>
          </w:p>
        </w:tc>
        <w:tc>
          <w:tcPr>
            <w:tcBorders>
              <w:bottom w:color="000000" w:space="0" w:sz="4" w:val="single"/>
            </w:tcBorders>
          </w:tcPr>
          <w:p w:rsidR="00000000" w:rsidDel="00000000" w:rsidP="00000000" w:rsidRDefault="00000000" w:rsidRPr="00000000" w14:paraId="000006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0,028</w:t>
            </w:r>
          </w:p>
        </w:tc>
        <w:tc>
          <w:tcPr>
            <w:tcBorders>
              <w:bottom w:color="000000" w:space="0" w:sz="4" w:val="single"/>
            </w:tcBorders>
          </w:tcPr>
          <w:p w:rsidR="00000000" w:rsidDel="00000000" w:rsidP="00000000" w:rsidRDefault="00000000" w:rsidRPr="00000000" w14:paraId="000006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0,2423</w:t>
            </w:r>
          </w:p>
        </w:tc>
        <w:tc>
          <w:tcPr>
            <w:tcBorders>
              <w:bottom w:color="000000" w:space="0" w:sz="4" w:val="single"/>
            </w:tcBorders>
          </w:tcPr>
          <w:p w:rsidR="00000000" w:rsidDel="00000000" w:rsidP="00000000" w:rsidRDefault="00000000" w:rsidRPr="00000000" w14:paraId="000006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-0,111</w:t>
            </w:r>
          </w:p>
        </w:tc>
        <w:tc>
          <w:tcPr>
            <w:tcBorders>
              <w:bottom w:color="000000" w:space="0" w:sz="4" w:val="single"/>
            </w:tcBorders>
          </w:tcPr>
          <w:p w:rsidR="00000000" w:rsidDel="00000000" w:rsidP="00000000" w:rsidRDefault="00000000" w:rsidRPr="00000000" w14:paraId="000006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0,1012</w:t>
            </w:r>
          </w:p>
        </w:tc>
        <w:tc>
          <w:tcPr>
            <w:tcBorders>
              <w:bottom w:color="000000" w:space="0" w:sz="4" w:val="single"/>
            </w:tcBorders>
          </w:tcPr>
          <w:p w:rsidR="00000000" w:rsidDel="00000000" w:rsidP="00000000" w:rsidRDefault="00000000" w:rsidRPr="00000000" w14:paraId="000006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0,059</w:t>
            </w:r>
          </w:p>
        </w:tc>
        <w:tc>
          <w:tcPr>
            <w:tcBorders>
              <w:bottom w:color="000000" w:space="0" w:sz="4" w:val="single"/>
            </w:tcBorders>
          </w:tcPr>
          <w:p w:rsidR="00000000" w:rsidDel="00000000" w:rsidP="00000000" w:rsidRDefault="00000000" w:rsidRPr="00000000" w14:paraId="000006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0,1117</w:t>
            </w:r>
          </w:p>
        </w:tc>
      </w:tr>
    </w:tbl>
    <w:p w:rsidR="00000000" w:rsidDel="00000000" w:rsidP="00000000" w:rsidRDefault="00000000" w:rsidRPr="00000000" w14:paraId="000006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60" w:before="120" w:line="240" w:lineRule="auto"/>
        <w:ind w:left="1134" w:right="0" w:hanging="1134"/>
        <w:jc w:val="both"/>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heading=h.25b2l0r" w:id="67"/>
      <w:bookmarkEnd w:id="67"/>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Tabela 7.</w:t>
        <w:tab/>
        <w:t xml:space="preserve">Avaliação do coeficiente I de autocorrelação espacial bivariada de Moran e pseudo-valor de P calculado para 9999 permutações da frequência absoluta dos agravos a seres humanos frente ao índice de desenvolvimento humano (IDH), segundo o ano e grupo de espécies. Feira de Santana, BA. 2008-2019.</w:t>
      </w:r>
    </w:p>
    <w:tbl>
      <w:tblPr>
        <w:tblStyle w:val="Table9"/>
        <w:tblW w:w="8504.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418"/>
        <w:gridCol w:w="1181"/>
        <w:gridCol w:w="1181"/>
        <w:gridCol w:w="1181"/>
        <w:gridCol w:w="1181"/>
        <w:gridCol w:w="1181"/>
        <w:gridCol w:w="1181"/>
        <w:tblGridChange w:id="0">
          <w:tblGrid>
            <w:gridCol w:w="1418"/>
            <w:gridCol w:w="1181"/>
            <w:gridCol w:w="1181"/>
            <w:gridCol w:w="1181"/>
            <w:gridCol w:w="1181"/>
            <w:gridCol w:w="1181"/>
            <w:gridCol w:w="1181"/>
          </w:tblGrid>
        </w:tblGridChange>
      </w:tblGrid>
      <w:tr>
        <w:trPr>
          <w:cantSplit w:val="0"/>
          <w:tblHeader w:val="0"/>
        </w:trPr>
        <w:tc>
          <w:tcPr>
            <w:tcBorders>
              <w:top w:color="000000" w:space="0" w:sz="4" w:val="single"/>
              <w:bottom w:color="000000" w:space="0" w:sz="4" w:val="single"/>
            </w:tcBorders>
          </w:tcPr>
          <w:p w:rsidR="00000000" w:rsidDel="00000000" w:rsidP="00000000" w:rsidRDefault="00000000" w:rsidRPr="00000000" w14:paraId="000006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0" w:space="0" w:sz="4" w:val="single"/>
              <w:bottom w:color="000000" w:space="0" w:sz="4" w:val="single"/>
            </w:tcBorders>
          </w:tcPr>
          <w:p w:rsidR="00000000" w:rsidDel="00000000" w:rsidP="00000000" w:rsidRDefault="00000000" w:rsidRPr="00000000" w14:paraId="000006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Carnívoros</w:t>
            </w:r>
          </w:p>
        </w:tc>
        <w:tc>
          <w:tcPr>
            <w:gridSpan w:val="2"/>
            <w:tcBorders>
              <w:top w:color="000000" w:space="0" w:sz="4" w:val="single"/>
              <w:bottom w:color="000000" w:space="0" w:sz="4" w:val="single"/>
            </w:tcBorders>
          </w:tcPr>
          <w:p w:rsidR="00000000" w:rsidDel="00000000" w:rsidP="00000000" w:rsidRDefault="00000000" w:rsidRPr="00000000" w14:paraId="000006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Herbívoros</w:t>
            </w:r>
          </w:p>
        </w:tc>
        <w:tc>
          <w:tcPr>
            <w:gridSpan w:val="2"/>
            <w:tcBorders>
              <w:top w:color="000000" w:space="0" w:sz="4" w:val="single"/>
              <w:bottom w:color="000000" w:space="0" w:sz="4" w:val="single"/>
            </w:tcBorders>
          </w:tcPr>
          <w:p w:rsidR="00000000" w:rsidDel="00000000" w:rsidP="00000000" w:rsidRDefault="00000000" w:rsidRPr="00000000" w14:paraId="000006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Silvestres/Sinantrópicos</w:t>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6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Anos</w:t>
            </w:r>
          </w:p>
        </w:tc>
        <w:tc>
          <w:tcPr>
            <w:tcBorders>
              <w:top w:color="000000" w:space="0" w:sz="4" w:val="single"/>
              <w:bottom w:color="000000" w:space="0" w:sz="4" w:val="single"/>
            </w:tcBorders>
            <w:vAlign w:val="center"/>
          </w:tcPr>
          <w:p w:rsidR="00000000" w:rsidDel="00000000" w:rsidP="00000000" w:rsidRDefault="00000000" w:rsidRPr="00000000" w14:paraId="000006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I</w:t>
            </w:r>
          </w:p>
        </w:tc>
        <w:tc>
          <w:tcPr>
            <w:tcBorders>
              <w:top w:color="000000" w:space="0" w:sz="4" w:val="single"/>
              <w:bottom w:color="000000" w:space="0" w:sz="4" w:val="single"/>
            </w:tcBorders>
            <w:vAlign w:val="center"/>
          </w:tcPr>
          <w:p w:rsidR="00000000" w:rsidDel="00000000" w:rsidP="00000000" w:rsidRDefault="00000000" w:rsidRPr="00000000" w14:paraId="000006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Pseudo-valor de P</w:t>
            </w:r>
          </w:p>
        </w:tc>
        <w:tc>
          <w:tcPr>
            <w:tcBorders>
              <w:top w:color="000000" w:space="0" w:sz="4" w:val="single"/>
              <w:bottom w:color="000000" w:space="0" w:sz="4" w:val="single"/>
            </w:tcBorders>
            <w:vAlign w:val="center"/>
          </w:tcPr>
          <w:p w:rsidR="00000000" w:rsidDel="00000000" w:rsidP="00000000" w:rsidRDefault="00000000" w:rsidRPr="00000000" w14:paraId="000006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I</w:t>
            </w:r>
          </w:p>
        </w:tc>
        <w:tc>
          <w:tcPr>
            <w:tcBorders>
              <w:top w:color="000000" w:space="0" w:sz="4" w:val="single"/>
              <w:bottom w:color="000000" w:space="0" w:sz="4" w:val="single"/>
            </w:tcBorders>
            <w:vAlign w:val="center"/>
          </w:tcPr>
          <w:p w:rsidR="00000000" w:rsidDel="00000000" w:rsidP="00000000" w:rsidRDefault="00000000" w:rsidRPr="00000000" w14:paraId="000006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Pseudo-valor de P</w:t>
            </w:r>
          </w:p>
        </w:tc>
        <w:tc>
          <w:tcPr>
            <w:tcBorders>
              <w:top w:color="000000" w:space="0" w:sz="4" w:val="single"/>
              <w:bottom w:color="000000" w:space="0" w:sz="4" w:val="single"/>
            </w:tcBorders>
            <w:vAlign w:val="center"/>
          </w:tcPr>
          <w:p w:rsidR="00000000" w:rsidDel="00000000" w:rsidP="00000000" w:rsidRDefault="00000000" w:rsidRPr="00000000" w14:paraId="000006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I</w:t>
            </w:r>
          </w:p>
        </w:tc>
        <w:tc>
          <w:tcPr>
            <w:tcBorders>
              <w:top w:color="000000" w:space="0" w:sz="4" w:val="single"/>
              <w:bottom w:color="000000" w:space="0" w:sz="4" w:val="single"/>
            </w:tcBorders>
            <w:vAlign w:val="center"/>
          </w:tcPr>
          <w:p w:rsidR="00000000" w:rsidDel="00000000" w:rsidP="00000000" w:rsidRDefault="00000000" w:rsidRPr="00000000" w14:paraId="000006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Pseudo-valor de P</w:t>
            </w:r>
          </w:p>
        </w:tc>
      </w:tr>
      <w:tr>
        <w:trPr>
          <w:cantSplit w:val="0"/>
          <w:tblHeader w:val="0"/>
        </w:trPr>
        <w:tc>
          <w:tcPr>
            <w:tcBorders>
              <w:top w:color="000000" w:space="0" w:sz="4" w:val="single"/>
            </w:tcBorders>
          </w:tcPr>
          <w:p w:rsidR="00000000" w:rsidDel="00000000" w:rsidP="00000000" w:rsidRDefault="00000000" w:rsidRPr="00000000" w14:paraId="000006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2008</w:t>
            </w:r>
          </w:p>
        </w:tc>
        <w:tc>
          <w:tcPr>
            <w:tcBorders>
              <w:top w:color="000000" w:space="0" w:sz="4" w:val="single"/>
            </w:tcBorders>
          </w:tcPr>
          <w:p w:rsidR="00000000" w:rsidDel="00000000" w:rsidP="00000000" w:rsidRDefault="00000000" w:rsidRPr="00000000" w14:paraId="000006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0,025</w:t>
            </w:r>
          </w:p>
        </w:tc>
        <w:tc>
          <w:tcPr>
            <w:tcBorders>
              <w:top w:color="000000" w:space="0" w:sz="4" w:val="single"/>
            </w:tcBorders>
          </w:tcPr>
          <w:p w:rsidR="00000000" w:rsidDel="00000000" w:rsidP="00000000" w:rsidRDefault="00000000" w:rsidRPr="00000000" w14:paraId="000006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0,3546</w:t>
            </w:r>
          </w:p>
        </w:tc>
        <w:tc>
          <w:tcPr>
            <w:tcBorders>
              <w:top w:color="000000" w:space="0" w:sz="4" w:val="single"/>
            </w:tcBorders>
          </w:tcPr>
          <w:p w:rsidR="00000000" w:rsidDel="00000000" w:rsidP="00000000" w:rsidRDefault="00000000" w:rsidRPr="00000000" w14:paraId="000006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i w:val="0"/>
                <w:smallCaps w:val="0"/>
                <w:strike w:val="0"/>
                <w:color w:val="ff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
                <w:szCs w:val="20"/>
                <w:u w:val="none"/>
                <w:shd w:fill="auto" w:val="clear"/>
                <w:vertAlign w:val="baseline"/>
                <w:rtl w:val="0"/>
              </w:rPr>
              <w:t xml:space="preserve">-0,103</w:t>
            </w:r>
          </w:p>
        </w:tc>
        <w:tc>
          <w:tcPr>
            <w:tcBorders>
              <w:top w:color="000000" w:space="0" w:sz="4" w:val="single"/>
            </w:tcBorders>
          </w:tcPr>
          <w:p w:rsidR="00000000" w:rsidDel="00000000" w:rsidP="00000000" w:rsidRDefault="00000000" w:rsidRPr="00000000" w14:paraId="000006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i w:val="0"/>
                <w:smallCaps w:val="0"/>
                <w:strike w:val="0"/>
                <w:color w:val="ff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
                <w:szCs w:val="20"/>
                <w:u w:val="none"/>
                <w:shd w:fill="auto" w:val="clear"/>
                <w:vertAlign w:val="baseline"/>
                <w:rtl w:val="0"/>
              </w:rPr>
              <w:t xml:space="preserve">0,0399</w:t>
            </w:r>
          </w:p>
        </w:tc>
        <w:tc>
          <w:tcPr>
            <w:tcBorders>
              <w:top w:color="000000" w:space="0" w:sz="4" w:val="single"/>
            </w:tcBorders>
          </w:tcPr>
          <w:p w:rsidR="00000000" w:rsidDel="00000000" w:rsidP="00000000" w:rsidRDefault="00000000" w:rsidRPr="00000000" w14:paraId="000006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0,094</w:t>
            </w:r>
          </w:p>
        </w:tc>
        <w:tc>
          <w:tcPr>
            <w:tcBorders>
              <w:top w:color="000000" w:space="0" w:sz="4" w:val="single"/>
            </w:tcBorders>
          </w:tcPr>
          <w:p w:rsidR="00000000" w:rsidDel="00000000" w:rsidP="00000000" w:rsidRDefault="00000000" w:rsidRPr="00000000" w14:paraId="000006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0,0580</w:t>
            </w:r>
          </w:p>
        </w:tc>
      </w:tr>
      <w:tr>
        <w:trPr>
          <w:cantSplit w:val="0"/>
          <w:tblHeader w:val="0"/>
        </w:trPr>
        <w:tc>
          <w:tcPr/>
          <w:p w:rsidR="00000000" w:rsidDel="00000000" w:rsidP="00000000" w:rsidRDefault="00000000" w:rsidRPr="00000000" w14:paraId="000006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2009</w:t>
            </w:r>
          </w:p>
        </w:tc>
        <w:tc>
          <w:tcPr/>
          <w:p w:rsidR="00000000" w:rsidDel="00000000" w:rsidP="00000000" w:rsidRDefault="00000000" w:rsidRPr="00000000" w14:paraId="000006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0,058</w:t>
            </w:r>
          </w:p>
        </w:tc>
        <w:tc>
          <w:tcPr/>
          <w:p w:rsidR="00000000" w:rsidDel="00000000" w:rsidP="00000000" w:rsidRDefault="00000000" w:rsidRPr="00000000" w14:paraId="000006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0,1515</w:t>
            </w:r>
          </w:p>
        </w:tc>
        <w:tc>
          <w:tcPr/>
          <w:p w:rsidR="00000000" w:rsidDel="00000000" w:rsidP="00000000" w:rsidRDefault="00000000" w:rsidRPr="00000000" w14:paraId="000006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-0,002</w:t>
            </w:r>
          </w:p>
        </w:tc>
        <w:tc>
          <w:tcPr/>
          <w:p w:rsidR="00000000" w:rsidDel="00000000" w:rsidP="00000000" w:rsidRDefault="00000000" w:rsidRPr="00000000" w14:paraId="000006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0,4876</w:t>
            </w:r>
          </w:p>
        </w:tc>
        <w:tc>
          <w:tcPr/>
          <w:p w:rsidR="00000000" w:rsidDel="00000000" w:rsidP="00000000" w:rsidRDefault="00000000" w:rsidRPr="00000000" w14:paraId="000006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i w:val="0"/>
                <w:smallCaps w:val="0"/>
                <w:strike w:val="0"/>
                <w:color w:val="ff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
                <w:szCs w:val="20"/>
                <w:u w:val="none"/>
                <w:shd w:fill="auto" w:val="clear"/>
                <w:vertAlign w:val="baseline"/>
                <w:rtl w:val="0"/>
              </w:rPr>
              <w:t xml:space="preserve">0,171</w:t>
            </w:r>
          </w:p>
        </w:tc>
        <w:tc>
          <w:tcPr/>
          <w:p w:rsidR="00000000" w:rsidDel="00000000" w:rsidP="00000000" w:rsidRDefault="00000000" w:rsidRPr="00000000" w14:paraId="000006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i w:val="0"/>
                <w:smallCaps w:val="0"/>
                <w:strike w:val="0"/>
                <w:color w:val="ff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
                <w:szCs w:val="20"/>
                <w:u w:val="none"/>
                <w:shd w:fill="auto" w:val="clear"/>
                <w:vertAlign w:val="baseline"/>
                <w:rtl w:val="0"/>
              </w:rPr>
              <w:t xml:space="preserve">0,0046</w:t>
            </w:r>
          </w:p>
        </w:tc>
      </w:tr>
      <w:tr>
        <w:trPr>
          <w:cantSplit w:val="0"/>
          <w:tblHeader w:val="0"/>
        </w:trPr>
        <w:tc>
          <w:tcPr/>
          <w:p w:rsidR="00000000" w:rsidDel="00000000" w:rsidP="00000000" w:rsidRDefault="00000000" w:rsidRPr="00000000" w14:paraId="000006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2010</w:t>
            </w:r>
          </w:p>
        </w:tc>
        <w:tc>
          <w:tcPr/>
          <w:p w:rsidR="00000000" w:rsidDel="00000000" w:rsidP="00000000" w:rsidRDefault="00000000" w:rsidRPr="00000000" w14:paraId="000006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i w:val="0"/>
                <w:smallCaps w:val="0"/>
                <w:strike w:val="0"/>
                <w:color w:val="ff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
                <w:szCs w:val="20"/>
                <w:u w:val="none"/>
                <w:shd w:fill="auto" w:val="clear"/>
                <w:vertAlign w:val="baseline"/>
                <w:rtl w:val="0"/>
              </w:rPr>
              <w:t xml:space="preserve">0,173</w:t>
            </w:r>
          </w:p>
        </w:tc>
        <w:tc>
          <w:tcPr/>
          <w:p w:rsidR="00000000" w:rsidDel="00000000" w:rsidP="00000000" w:rsidRDefault="00000000" w:rsidRPr="00000000" w14:paraId="000006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i w:val="0"/>
                <w:smallCaps w:val="0"/>
                <w:strike w:val="0"/>
                <w:color w:val="ff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
                <w:szCs w:val="20"/>
                <w:u w:val="none"/>
                <w:shd w:fill="auto" w:val="clear"/>
                <w:vertAlign w:val="baseline"/>
                <w:rtl w:val="0"/>
              </w:rPr>
              <w:t xml:space="preserve">0,0046</w:t>
            </w:r>
          </w:p>
        </w:tc>
        <w:tc>
          <w:tcPr/>
          <w:p w:rsidR="00000000" w:rsidDel="00000000" w:rsidP="00000000" w:rsidRDefault="00000000" w:rsidRPr="00000000" w14:paraId="000006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i w:val="0"/>
                <w:smallCaps w:val="0"/>
                <w:strike w:val="0"/>
                <w:color w:val="ff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
                <w:szCs w:val="20"/>
                <w:u w:val="none"/>
                <w:shd w:fill="auto" w:val="clear"/>
                <w:vertAlign w:val="baseline"/>
                <w:rtl w:val="0"/>
              </w:rPr>
              <w:t xml:space="preserve">0,149</w:t>
            </w:r>
          </w:p>
        </w:tc>
        <w:tc>
          <w:tcPr/>
          <w:p w:rsidR="00000000" w:rsidDel="00000000" w:rsidP="00000000" w:rsidRDefault="00000000" w:rsidRPr="00000000" w14:paraId="000006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i w:val="0"/>
                <w:smallCaps w:val="0"/>
                <w:strike w:val="0"/>
                <w:color w:val="ff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
                <w:szCs w:val="20"/>
                <w:u w:val="none"/>
                <w:shd w:fill="auto" w:val="clear"/>
                <w:vertAlign w:val="baseline"/>
                <w:rtl w:val="0"/>
              </w:rPr>
              <w:t xml:space="preserve">0,0110</w:t>
            </w:r>
          </w:p>
        </w:tc>
        <w:tc>
          <w:tcPr/>
          <w:p w:rsidR="00000000" w:rsidDel="00000000" w:rsidP="00000000" w:rsidRDefault="00000000" w:rsidRPr="00000000" w14:paraId="000006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i w:val="0"/>
                <w:smallCaps w:val="0"/>
                <w:strike w:val="0"/>
                <w:color w:val="ff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
                <w:szCs w:val="20"/>
                <w:u w:val="none"/>
                <w:shd w:fill="auto" w:val="clear"/>
                <w:vertAlign w:val="baseline"/>
                <w:rtl w:val="0"/>
              </w:rPr>
              <w:t xml:space="preserve">0,184</w:t>
            </w:r>
          </w:p>
        </w:tc>
        <w:tc>
          <w:tcPr/>
          <w:p w:rsidR="00000000" w:rsidDel="00000000" w:rsidP="00000000" w:rsidRDefault="00000000" w:rsidRPr="00000000" w14:paraId="000006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i w:val="0"/>
                <w:smallCaps w:val="0"/>
                <w:strike w:val="0"/>
                <w:color w:val="ff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
                <w:szCs w:val="20"/>
                <w:u w:val="none"/>
                <w:shd w:fill="auto" w:val="clear"/>
                <w:vertAlign w:val="baseline"/>
                <w:rtl w:val="0"/>
              </w:rPr>
              <w:t xml:space="preserve">0,0037</w:t>
            </w:r>
          </w:p>
        </w:tc>
      </w:tr>
      <w:tr>
        <w:trPr>
          <w:cantSplit w:val="0"/>
          <w:tblHeader w:val="0"/>
        </w:trPr>
        <w:tc>
          <w:tcPr/>
          <w:p w:rsidR="00000000" w:rsidDel="00000000" w:rsidP="00000000" w:rsidRDefault="00000000" w:rsidRPr="00000000" w14:paraId="000006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2011</w:t>
            </w:r>
          </w:p>
        </w:tc>
        <w:tc>
          <w:tcPr/>
          <w:p w:rsidR="00000000" w:rsidDel="00000000" w:rsidP="00000000" w:rsidRDefault="00000000" w:rsidRPr="00000000" w14:paraId="000006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-0,021</w:t>
            </w:r>
          </w:p>
        </w:tc>
        <w:tc>
          <w:tcPr/>
          <w:p w:rsidR="00000000" w:rsidDel="00000000" w:rsidP="00000000" w:rsidRDefault="00000000" w:rsidRPr="00000000" w14:paraId="000006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0,3552</w:t>
            </w:r>
          </w:p>
        </w:tc>
        <w:tc>
          <w:tcPr/>
          <w:p w:rsidR="00000000" w:rsidDel="00000000" w:rsidP="00000000" w:rsidRDefault="00000000" w:rsidRPr="00000000" w14:paraId="000006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-0,059</w:t>
            </w:r>
          </w:p>
        </w:tc>
        <w:tc>
          <w:tcPr/>
          <w:p w:rsidR="00000000" w:rsidDel="00000000" w:rsidP="00000000" w:rsidRDefault="00000000" w:rsidRPr="00000000" w14:paraId="000006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0,1599</w:t>
            </w:r>
          </w:p>
        </w:tc>
        <w:tc>
          <w:tcPr/>
          <w:p w:rsidR="00000000" w:rsidDel="00000000" w:rsidP="00000000" w:rsidRDefault="00000000" w:rsidRPr="00000000" w14:paraId="000006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-0,004</w:t>
            </w:r>
          </w:p>
        </w:tc>
        <w:tc>
          <w:tcPr/>
          <w:p w:rsidR="00000000" w:rsidDel="00000000" w:rsidP="00000000" w:rsidRDefault="00000000" w:rsidRPr="00000000" w14:paraId="000006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0,4642</w:t>
            </w:r>
          </w:p>
        </w:tc>
      </w:tr>
      <w:tr>
        <w:trPr>
          <w:cantSplit w:val="0"/>
          <w:tblHeader w:val="0"/>
        </w:trPr>
        <w:tc>
          <w:tcPr/>
          <w:p w:rsidR="00000000" w:rsidDel="00000000" w:rsidP="00000000" w:rsidRDefault="00000000" w:rsidRPr="00000000" w14:paraId="000006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2012</w:t>
            </w:r>
          </w:p>
        </w:tc>
        <w:tc>
          <w:tcPr/>
          <w:p w:rsidR="00000000" w:rsidDel="00000000" w:rsidP="00000000" w:rsidRDefault="00000000" w:rsidRPr="00000000" w14:paraId="000006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-0,056</w:t>
            </w:r>
          </w:p>
        </w:tc>
        <w:tc>
          <w:tcPr/>
          <w:p w:rsidR="00000000" w:rsidDel="00000000" w:rsidP="00000000" w:rsidRDefault="00000000" w:rsidRPr="00000000" w14:paraId="000006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0,1539</w:t>
            </w:r>
          </w:p>
        </w:tc>
        <w:tc>
          <w:tcPr/>
          <w:p w:rsidR="00000000" w:rsidDel="00000000" w:rsidP="00000000" w:rsidRDefault="00000000" w:rsidRPr="00000000" w14:paraId="000006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i w:val="0"/>
                <w:smallCaps w:val="0"/>
                <w:strike w:val="0"/>
                <w:color w:val="ff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
                <w:szCs w:val="20"/>
                <w:u w:val="none"/>
                <w:shd w:fill="auto" w:val="clear"/>
                <w:vertAlign w:val="baseline"/>
                <w:rtl w:val="0"/>
              </w:rPr>
              <w:t xml:space="preserve">-0,141</w:t>
            </w:r>
          </w:p>
        </w:tc>
        <w:tc>
          <w:tcPr/>
          <w:p w:rsidR="00000000" w:rsidDel="00000000" w:rsidP="00000000" w:rsidRDefault="00000000" w:rsidRPr="00000000" w14:paraId="000006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i w:val="0"/>
                <w:smallCaps w:val="0"/>
                <w:strike w:val="0"/>
                <w:color w:val="ff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
                <w:szCs w:val="20"/>
                <w:u w:val="none"/>
                <w:shd w:fill="auto" w:val="clear"/>
                <w:vertAlign w:val="baseline"/>
                <w:rtl w:val="0"/>
              </w:rPr>
              <w:t xml:space="preserve">0,0098</w:t>
            </w:r>
          </w:p>
        </w:tc>
        <w:tc>
          <w:tcPr/>
          <w:p w:rsidR="00000000" w:rsidDel="00000000" w:rsidP="00000000" w:rsidRDefault="00000000" w:rsidRPr="00000000" w14:paraId="000006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-0,009</w:t>
            </w:r>
          </w:p>
        </w:tc>
        <w:tc>
          <w:tcPr/>
          <w:p w:rsidR="00000000" w:rsidDel="00000000" w:rsidP="00000000" w:rsidRDefault="00000000" w:rsidRPr="00000000" w14:paraId="000006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0,4369</w:t>
            </w:r>
          </w:p>
        </w:tc>
      </w:tr>
      <w:tr>
        <w:trPr>
          <w:cantSplit w:val="0"/>
          <w:tblHeader w:val="0"/>
        </w:trPr>
        <w:tc>
          <w:tcPr/>
          <w:p w:rsidR="00000000" w:rsidDel="00000000" w:rsidP="00000000" w:rsidRDefault="00000000" w:rsidRPr="00000000" w14:paraId="000006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2013</w:t>
            </w:r>
          </w:p>
        </w:tc>
        <w:tc>
          <w:tcPr/>
          <w:p w:rsidR="00000000" w:rsidDel="00000000" w:rsidP="00000000" w:rsidRDefault="00000000" w:rsidRPr="00000000" w14:paraId="000006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i w:val="0"/>
                <w:smallCaps w:val="0"/>
                <w:strike w:val="0"/>
                <w:color w:val="ff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
                <w:szCs w:val="20"/>
                <w:u w:val="none"/>
                <w:shd w:fill="auto" w:val="clear"/>
                <w:vertAlign w:val="baseline"/>
                <w:rtl w:val="0"/>
              </w:rPr>
              <w:t xml:space="preserve">-0,283</w:t>
            </w:r>
          </w:p>
        </w:tc>
        <w:tc>
          <w:tcPr/>
          <w:p w:rsidR="00000000" w:rsidDel="00000000" w:rsidP="00000000" w:rsidRDefault="00000000" w:rsidRPr="00000000" w14:paraId="000006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i w:val="0"/>
                <w:smallCaps w:val="0"/>
                <w:strike w:val="0"/>
                <w:color w:val="ff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
                <w:szCs w:val="20"/>
                <w:u w:val="none"/>
                <w:shd w:fill="auto" w:val="clear"/>
                <w:vertAlign w:val="baseline"/>
                <w:rtl w:val="0"/>
              </w:rPr>
              <w:t xml:space="preserve">0,0001</w:t>
            </w:r>
          </w:p>
        </w:tc>
        <w:tc>
          <w:tcPr/>
          <w:p w:rsidR="00000000" w:rsidDel="00000000" w:rsidP="00000000" w:rsidRDefault="00000000" w:rsidRPr="00000000" w14:paraId="000006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i w:val="0"/>
                <w:smallCaps w:val="0"/>
                <w:strike w:val="0"/>
                <w:color w:val="ff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
                <w:szCs w:val="20"/>
                <w:u w:val="none"/>
                <w:shd w:fill="auto" w:val="clear"/>
                <w:vertAlign w:val="baseline"/>
                <w:rtl w:val="0"/>
              </w:rPr>
              <w:t xml:space="preserve">-0,281</w:t>
            </w:r>
          </w:p>
        </w:tc>
        <w:tc>
          <w:tcPr/>
          <w:p w:rsidR="00000000" w:rsidDel="00000000" w:rsidP="00000000" w:rsidRDefault="00000000" w:rsidRPr="00000000" w14:paraId="000006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i w:val="0"/>
                <w:smallCaps w:val="0"/>
                <w:strike w:val="0"/>
                <w:color w:val="ff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
                <w:szCs w:val="20"/>
                <w:u w:val="none"/>
                <w:shd w:fill="auto" w:val="clear"/>
                <w:vertAlign w:val="baseline"/>
                <w:rtl w:val="0"/>
              </w:rPr>
              <w:t xml:space="preserve">0,0001</w:t>
            </w:r>
          </w:p>
        </w:tc>
        <w:tc>
          <w:tcPr/>
          <w:p w:rsidR="00000000" w:rsidDel="00000000" w:rsidP="00000000" w:rsidRDefault="00000000" w:rsidRPr="00000000" w14:paraId="000006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i w:val="0"/>
                <w:smallCaps w:val="0"/>
                <w:strike w:val="0"/>
                <w:color w:val="ff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
                <w:szCs w:val="20"/>
                <w:u w:val="none"/>
                <w:shd w:fill="auto" w:val="clear"/>
                <w:vertAlign w:val="baseline"/>
                <w:rtl w:val="0"/>
              </w:rPr>
              <w:t xml:space="preserve">-0,282</w:t>
            </w:r>
          </w:p>
        </w:tc>
        <w:tc>
          <w:tcPr/>
          <w:p w:rsidR="00000000" w:rsidDel="00000000" w:rsidP="00000000" w:rsidRDefault="00000000" w:rsidRPr="00000000" w14:paraId="000006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i w:val="0"/>
                <w:smallCaps w:val="0"/>
                <w:strike w:val="0"/>
                <w:color w:val="ff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
                <w:szCs w:val="20"/>
                <w:u w:val="none"/>
                <w:shd w:fill="auto" w:val="clear"/>
                <w:vertAlign w:val="baseline"/>
                <w:rtl w:val="0"/>
              </w:rPr>
              <w:t xml:space="preserve">0,0001</w:t>
            </w:r>
          </w:p>
        </w:tc>
      </w:tr>
      <w:tr>
        <w:trPr>
          <w:cantSplit w:val="0"/>
          <w:tblHeader w:val="0"/>
        </w:trPr>
        <w:tc>
          <w:tcPr/>
          <w:p w:rsidR="00000000" w:rsidDel="00000000" w:rsidP="00000000" w:rsidRDefault="00000000" w:rsidRPr="00000000" w14:paraId="000006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2014</w:t>
            </w:r>
          </w:p>
        </w:tc>
        <w:tc>
          <w:tcPr/>
          <w:p w:rsidR="00000000" w:rsidDel="00000000" w:rsidP="00000000" w:rsidRDefault="00000000" w:rsidRPr="00000000" w14:paraId="000006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0,030</w:t>
            </w:r>
          </w:p>
        </w:tc>
        <w:tc>
          <w:tcPr/>
          <w:p w:rsidR="00000000" w:rsidDel="00000000" w:rsidP="00000000" w:rsidRDefault="00000000" w:rsidRPr="00000000" w14:paraId="000006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0,2792</w:t>
            </w:r>
          </w:p>
        </w:tc>
        <w:tc>
          <w:tcPr/>
          <w:p w:rsidR="00000000" w:rsidDel="00000000" w:rsidP="00000000" w:rsidRDefault="00000000" w:rsidRPr="00000000" w14:paraId="000006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-0,023</w:t>
            </w:r>
          </w:p>
        </w:tc>
        <w:tc>
          <w:tcPr/>
          <w:p w:rsidR="00000000" w:rsidDel="00000000" w:rsidP="00000000" w:rsidRDefault="00000000" w:rsidRPr="00000000" w14:paraId="000006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0,3382</w:t>
            </w:r>
          </w:p>
        </w:tc>
        <w:tc>
          <w:tcPr/>
          <w:p w:rsidR="00000000" w:rsidDel="00000000" w:rsidP="00000000" w:rsidRDefault="00000000" w:rsidRPr="00000000" w14:paraId="000006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0,012</w:t>
            </w:r>
          </w:p>
        </w:tc>
        <w:tc>
          <w:tcPr/>
          <w:p w:rsidR="00000000" w:rsidDel="00000000" w:rsidP="00000000" w:rsidRDefault="00000000" w:rsidRPr="00000000" w14:paraId="000006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0,3853</w:t>
            </w:r>
          </w:p>
        </w:tc>
      </w:tr>
      <w:tr>
        <w:trPr>
          <w:cantSplit w:val="0"/>
          <w:tblHeader w:val="0"/>
        </w:trPr>
        <w:tc>
          <w:tcPr/>
          <w:p w:rsidR="00000000" w:rsidDel="00000000" w:rsidP="00000000" w:rsidRDefault="00000000" w:rsidRPr="00000000" w14:paraId="000006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2015</w:t>
            </w:r>
          </w:p>
        </w:tc>
        <w:tc>
          <w:tcPr/>
          <w:p w:rsidR="00000000" w:rsidDel="00000000" w:rsidP="00000000" w:rsidRDefault="00000000" w:rsidRPr="00000000" w14:paraId="000006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0,036</w:t>
            </w:r>
          </w:p>
        </w:tc>
        <w:tc>
          <w:tcPr/>
          <w:p w:rsidR="00000000" w:rsidDel="00000000" w:rsidP="00000000" w:rsidRDefault="00000000" w:rsidRPr="00000000" w14:paraId="000006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0,2491</w:t>
            </w:r>
          </w:p>
        </w:tc>
        <w:tc>
          <w:tcPr/>
          <w:p w:rsidR="00000000" w:rsidDel="00000000" w:rsidP="00000000" w:rsidRDefault="00000000" w:rsidRPr="00000000" w14:paraId="000006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0,075</w:t>
            </w:r>
          </w:p>
        </w:tc>
        <w:tc>
          <w:tcPr/>
          <w:p w:rsidR="00000000" w:rsidDel="00000000" w:rsidP="00000000" w:rsidRDefault="00000000" w:rsidRPr="00000000" w14:paraId="000006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0,0984</w:t>
            </w:r>
          </w:p>
        </w:tc>
        <w:tc>
          <w:tcPr/>
          <w:p w:rsidR="00000000" w:rsidDel="00000000" w:rsidP="00000000" w:rsidRDefault="00000000" w:rsidRPr="00000000" w14:paraId="000006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0,036</w:t>
            </w:r>
          </w:p>
        </w:tc>
        <w:tc>
          <w:tcPr/>
          <w:p w:rsidR="00000000" w:rsidDel="00000000" w:rsidP="00000000" w:rsidRDefault="00000000" w:rsidRPr="00000000" w14:paraId="000006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0,2528</w:t>
            </w:r>
          </w:p>
        </w:tc>
      </w:tr>
      <w:tr>
        <w:trPr>
          <w:cantSplit w:val="0"/>
          <w:tblHeader w:val="0"/>
        </w:trPr>
        <w:tc>
          <w:tcPr/>
          <w:p w:rsidR="00000000" w:rsidDel="00000000" w:rsidP="00000000" w:rsidRDefault="00000000" w:rsidRPr="00000000" w14:paraId="000006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2016</w:t>
            </w:r>
          </w:p>
        </w:tc>
        <w:tc>
          <w:tcPr/>
          <w:p w:rsidR="00000000" w:rsidDel="00000000" w:rsidP="00000000" w:rsidRDefault="00000000" w:rsidRPr="00000000" w14:paraId="000006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-0,003</w:t>
            </w:r>
          </w:p>
        </w:tc>
        <w:tc>
          <w:tcPr/>
          <w:p w:rsidR="00000000" w:rsidDel="00000000" w:rsidP="00000000" w:rsidRDefault="00000000" w:rsidRPr="00000000" w14:paraId="000006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0,4774</w:t>
            </w:r>
          </w:p>
        </w:tc>
        <w:tc>
          <w:tcPr/>
          <w:p w:rsidR="00000000" w:rsidDel="00000000" w:rsidP="00000000" w:rsidRDefault="00000000" w:rsidRPr="00000000" w14:paraId="000006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i w:val="0"/>
                <w:smallCaps w:val="0"/>
                <w:strike w:val="0"/>
                <w:color w:val="ff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
                <w:szCs w:val="20"/>
                <w:u w:val="none"/>
                <w:shd w:fill="auto" w:val="clear"/>
                <w:vertAlign w:val="baseline"/>
                <w:rtl w:val="0"/>
              </w:rPr>
              <w:t xml:space="preserve">-0,149</w:t>
            </w:r>
          </w:p>
        </w:tc>
        <w:tc>
          <w:tcPr/>
          <w:p w:rsidR="00000000" w:rsidDel="00000000" w:rsidP="00000000" w:rsidRDefault="00000000" w:rsidRPr="00000000" w14:paraId="000006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i w:val="0"/>
                <w:smallCaps w:val="0"/>
                <w:strike w:val="0"/>
                <w:color w:val="ff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
                <w:szCs w:val="20"/>
                <w:u w:val="none"/>
                <w:shd w:fill="auto" w:val="clear"/>
                <w:vertAlign w:val="baseline"/>
                <w:rtl w:val="0"/>
              </w:rPr>
              <w:t xml:space="preserve">0,0085</w:t>
            </w:r>
          </w:p>
        </w:tc>
        <w:tc>
          <w:tcPr/>
          <w:p w:rsidR="00000000" w:rsidDel="00000000" w:rsidP="00000000" w:rsidRDefault="00000000" w:rsidRPr="00000000" w14:paraId="000006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-0,009</w:t>
            </w:r>
          </w:p>
        </w:tc>
        <w:tc>
          <w:tcPr/>
          <w:p w:rsidR="00000000" w:rsidDel="00000000" w:rsidP="00000000" w:rsidRDefault="00000000" w:rsidRPr="00000000" w14:paraId="000006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0,4426</w:t>
            </w:r>
          </w:p>
        </w:tc>
      </w:tr>
      <w:tr>
        <w:trPr>
          <w:cantSplit w:val="0"/>
          <w:tblHeader w:val="0"/>
        </w:trPr>
        <w:tc>
          <w:tcPr/>
          <w:p w:rsidR="00000000" w:rsidDel="00000000" w:rsidP="00000000" w:rsidRDefault="00000000" w:rsidRPr="00000000" w14:paraId="000006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2017</w:t>
            </w:r>
          </w:p>
        </w:tc>
        <w:tc>
          <w:tcPr/>
          <w:p w:rsidR="00000000" w:rsidDel="00000000" w:rsidP="00000000" w:rsidRDefault="00000000" w:rsidRPr="00000000" w14:paraId="000006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0,096</w:t>
            </w:r>
          </w:p>
        </w:tc>
        <w:tc>
          <w:tcPr/>
          <w:p w:rsidR="00000000" w:rsidDel="00000000" w:rsidP="00000000" w:rsidRDefault="00000000" w:rsidRPr="00000000" w14:paraId="000006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0,0557</w:t>
            </w:r>
          </w:p>
        </w:tc>
        <w:tc>
          <w:tcPr/>
          <w:p w:rsidR="00000000" w:rsidDel="00000000" w:rsidP="00000000" w:rsidRDefault="00000000" w:rsidRPr="00000000" w14:paraId="000006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0,065</w:t>
            </w:r>
          </w:p>
        </w:tc>
        <w:tc>
          <w:tcPr/>
          <w:p w:rsidR="00000000" w:rsidDel="00000000" w:rsidP="00000000" w:rsidRDefault="00000000" w:rsidRPr="00000000" w14:paraId="000006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0,1347</w:t>
            </w:r>
          </w:p>
        </w:tc>
        <w:tc>
          <w:tcPr/>
          <w:p w:rsidR="00000000" w:rsidDel="00000000" w:rsidP="00000000" w:rsidRDefault="00000000" w:rsidRPr="00000000" w14:paraId="000006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i w:val="0"/>
                <w:smallCaps w:val="0"/>
                <w:strike w:val="0"/>
                <w:color w:val="ff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
                <w:szCs w:val="20"/>
                <w:u w:val="none"/>
                <w:shd w:fill="auto" w:val="clear"/>
                <w:vertAlign w:val="baseline"/>
                <w:rtl w:val="0"/>
              </w:rPr>
              <w:t xml:space="preserve">0,104</w:t>
            </w:r>
          </w:p>
        </w:tc>
        <w:tc>
          <w:tcPr/>
          <w:p w:rsidR="00000000" w:rsidDel="00000000" w:rsidP="00000000" w:rsidRDefault="00000000" w:rsidRPr="00000000" w14:paraId="000006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i w:val="0"/>
                <w:smallCaps w:val="0"/>
                <w:strike w:val="0"/>
                <w:color w:val="ff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
                <w:szCs w:val="20"/>
                <w:u w:val="none"/>
                <w:shd w:fill="auto" w:val="clear"/>
                <w:vertAlign w:val="baseline"/>
                <w:rtl w:val="0"/>
              </w:rPr>
              <w:t xml:space="preserve">0,0451</w:t>
            </w:r>
          </w:p>
        </w:tc>
      </w:tr>
      <w:tr>
        <w:trPr>
          <w:cantSplit w:val="0"/>
          <w:tblHeader w:val="0"/>
        </w:trPr>
        <w:tc>
          <w:tcPr/>
          <w:p w:rsidR="00000000" w:rsidDel="00000000" w:rsidP="00000000" w:rsidRDefault="00000000" w:rsidRPr="00000000" w14:paraId="000006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2018</w:t>
            </w:r>
          </w:p>
        </w:tc>
        <w:tc>
          <w:tcPr/>
          <w:p w:rsidR="00000000" w:rsidDel="00000000" w:rsidP="00000000" w:rsidRDefault="00000000" w:rsidRPr="00000000" w14:paraId="000006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i w:val="0"/>
                <w:smallCaps w:val="0"/>
                <w:strike w:val="0"/>
                <w:color w:val="ff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
                <w:szCs w:val="20"/>
                <w:u w:val="none"/>
                <w:shd w:fill="auto" w:val="clear"/>
                <w:vertAlign w:val="baseline"/>
                <w:rtl w:val="0"/>
              </w:rPr>
              <w:t xml:space="preserve">0,120</w:t>
            </w:r>
          </w:p>
        </w:tc>
        <w:tc>
          <w:tcPr/>
          <w:p w:rsidR="00000000" w:rsidDel="00000000" w:rsidP="00000000" w:rsidRDefault="00000000" w:rsidRPr="00000000" w14:paraId="000006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i w:val="0"/>
                <w:smallCaps w:val="0"/>
                <w:strike w:val="0"/>
                <w:color w:val="ff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
                <w:szCs w:val="20"/>
                <w:u w:val="none"/>
                <w:shd w:fill="auto" w:val="clear"/>
                <w:vertAlign w:val="baseline"/>
                <w:rtl w:val="0"/>
              </w:rPr>
              <w:t xml:space="preserve">0,0247</w:t>
            </w:r>
          </w:p>
        </w:tc>
        <w:tc>
          <w:tcPr/>
          <w:p w:rsidR="00000000" w:rsidDel="00000000" w:rsidP="00000000" w:rsidRDefault="00000000" w:rsidRPr="00000000" w14:paraId="000006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0,056</w:t>
            </w:r>
          </w:p>
        </w:tc>
        <w:tc>
          <w:tcPr/>
          <w:p w:rsidR="00000000" w:rsidDel="00000000" w:rsidP="00000000" w:rsidRDefault="00000000" w:rsidRPr="00000000" w14:paraId="000006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0,1588</w:t>
            </w:r>
          </w:p>
        </w:tc>
        <w:tc>
          <w:tcPr/>
          <w:p w:rsidR="00000000" w:rsidDel="00000000" w:rsidP="00000000" w:rsidRDefault="00000000" w:rsidRPr="00000000" w14:paraId="000006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i w:val="0"/>
                <w:smallCaps w:val="0"/>
                <w:strike w:val="0"/>
                <w:color w:val="ff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
                <w:szCs w:val="20"/>
                <w:u w:val="none"/>
                <w:shd w:fill="auto" w:val="clear"/>
                <w:vertAlign w:val="baseline"/>
                <w:rtl w:val="0"/>
              </w:rPr>
              <w:t xml:space="preserve">0,124</w:t>
            </w:r>
          </w:p>
        </w:tc>
        <w:tc>
          <w:tcPr/>
          <w:p w:rsidR="00000000" w:rsidDel="00000000" w:rsidP="00000000" w:rsidRDefault="00000000" w:rsidRPr="00000000" w14:paraId="000006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i w:val="0"/>
                <w:smallCaps w:val="0"/>
                <w:strike w:val="0"/>
                <w:color w:val="ff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
                <w:szCs w:val="20"/>
                <w:u w:val="none"/>
                <w:shd w:fill="auto" w:val="clear"/>
                <w:vertAlign w:val="baseline"/>
                <w:rtl w:val="0"/>
              </w:rPr>
              <w:t xml:space="preserve">0,0231</w:t>
            </w:r>
          </w:p>
        </w:tc>
      </w:tr>
      <w:tr>
        <w:trPr>
          <w:cantSplit w:val="0"/>
          <w:tblHeader w:val="0"/>
        </w:trPr>
        <w:tc>
          <w:tcPr>
            <w:tcBorders>
              <w:bottom w:color="000000" w:space="0" w:sz="4" w:val="single"/>
            </w:tcBorders>
          </w:tcPr>
          <w:p w:rsidR="00000000" w:rsidDel="00000000" w:rsidP="00000000" w:rsidRDefault="00000000" w:rsidRPr="00000000" w14:paraId="000006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2019</w:t>
            </w:r>
          </w:p>
        </w:tc>
        <w:tc>
          <w:tcPr>
            <w:tcBorders>
              <w:bottom w:color="000000" w:space="0" w:sz="4" w:val="single"/>
            </w:tcBorders>
          </w:tcPr>
          <w:p w:rsidR="00000000" w:rsidDel="00000000" w:rsidP="00000000" w:rsidRDefault="00000000" w:rsidRPr="00000000" w14:paraId="000006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0,045</w:t>
            </w:r>
          </w:p>
        </w:tc>
        <w:tc>
          <w:tcPr>
            <w:tcBorders>
              <w:bottom w:color="000000" w:space="0" w:sz="4" w:val="single"/>
            </w:tcBorders>
          </w:tcPr>
          <w:p w:rsidR="00000000" w:rsidDel="00000000" w:rsidP="00000000" w:rsidRDefault="00000000" w:rsidRPr="00000000" w14:paraId="000006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0,2002</w:t>
            </w:r>
          </w:p>
        </w:tc>
        <w:tc>
          <w:tcPr>
            <w:tcBorders>
              <w:bottom w:color="000000" w:space="0" w:sz="4" w:val="single"/>
            </w:tcBorders>
          </w:tcPr>
          <w:p w:rsidR="00000000" w:rsidDel="00000000" w:rsidP="00000000" w:rsidRDefault="00000000" w:rsidRPr="00000000" w14:paraId="000006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-0,066</w:t>
            </w:r>
          </w:p>
        </w:tc>
        <w:tc>
          <w:tcPr>
            <w:tcBorders>
              <w:bottom w:color="000000" w:space="0" w:sz="4" w:val="single"/>
            </w:tcBorders>
          </w:tcPr>
          <w:p w:rsidR="00000000" w:rsidDel="00000000" w:rsidP="00000000" w:rsidRDefault="00000000" w:rsidRPr="00000000" w14:paraId="000006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0,1296</w:t>
            </w:r>
          </w:p>
        </w:tc>
        <w:tc>
          <w:tcPr>
            <w:tcBorders>
              <w:bottom w:color="000000" w:space="0" w:sz="4" w:val="single"/>
            </w:tcBorders>
          </w:tcPr>
          <w:p w:rsidR="00000000" w:rsidDel="00000000" w:rsidP="00000000" w:rsidRDefault="00000000" w:rsidRPr="00000000" w14:paraId="000006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0,052</w:t>
            </w:r>
          </w:p>
        </w:tc>
        <w:tc>
          <w:tcPr>
            <w:tcBorders>
              <w:bottom w:color="000000" w:space="0" w:sz="4" w:val="single"/>
            </w:tcBorders>
          </w:tcPr>
          <w:p w:rsidR="00000000" w:rsidDel="00000000" w:rsidP="00000000" w:rsidRDefault="00000000" w:rsidRPr="00000000" w14:paraId="000006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0,1643</w:t>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6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Todos os anos</w:t>
            </w:r>
          </w:p>
        </w:tc>
        <w:tc>
          <w:tcPr>
            <w:tcBorders>
              <w:top w:color="000000" w:space="0" w:sz="4" w:val="single"/>
              <w:bottom w:color="000000" w:space="0" w:sz="4" w:val="single"/>
            </w:tcBorders>
          </w:tcPr>
          <w:p w:rsidR="00000000" w:rsidDel="00000000" w:rsidP="00000000" w:rsidRDefault="00000000" w:rsidRPr="00000000" w14:paraId="000006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0,083</w:t>
            </w:r>
          </w:p>
        </w:tc>
        <w:tc>
          <w:tcPr>
            <w:tcBorders>
              <w:top w:color="000000" w:space="0" w:sz="4" w:val="single"/>
              <w:bottom w:color="000000" w:space="0" w:sz="4" w:val="single"/>
            </w:tcBorders>
          </w:tcPr>
          <w:p w:rsidR="00000000" w:rsidDel="00000000" w:rsidP="00000000" w:rsidRDefault="00000000" w:rsidRPr="00000000" w14:paraId="000006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0,0769</w:t>
            </w:r>
          </w:p>
        </w:tc>
        <w:tc>
          <w:tcPr>
            <w:tcBorders>
              <w:top w:color="000000" w:space="0" w:sz="4" w:val="single"/>
              <w:bottom w:color="000000" w:space="0" w:sz="4" w:val="single"/>
            </w:tcBorders>
          </w:tcPr>
          <w:p w:rsidR="00000000" w:rsidDel="00000000" w:rsidP="00000000" w:rsidRDefault="00000000" w:rsidRPr="00000000" w14:paraId="000006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i w:val="0"/>
                <w:smallCaps w:val="0"/>
                <w:strike w:val="0"/>
                <w:color w:val="ff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
                <w:szCs w:val="20"/>
                <w:u w:val="none"/>
                <w:shd w:fill="auto" w:val="clear"/>
                <w:vertAlign w:val="baseline"/>
                <w:rtl w:val="0"/>
              </w:rPr>
              <w:t xml:space="preserve">-0,100</w:t>
            </w:r>
          </w:p>
        </w:tc>
        <w:tc>
          <w:tcPr>
            <w:tcBorders>
              <w:top w:color="000000" w:space="0" w:sz="4" w:val="single"/>
              <w:bottom w:color="000000" w:space="0" w:sz="4" w:val="single"/>
            </w:tcBorders>
          </w:tcPr>
          <w:p w:rsidR="00000000" w:rsidDel="00000000" w:rsidP="00000000" w:rsidRDefault="00000000" w:rsidRPr="00000000" w14:paraId="000006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i w:val="0"/>
                <w:smallCaps w:val="0"/>
                <w:strike w:val="0"/>
                <w:color w:val="ff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
                <w:szCs w:val="20"/>
                <w:u w:val="none"/>
                <w:shd w:fill="auto" w:val="clear"/>
                <w:vertAlign w:val="baseline"/>
                <w:rtl w:val="0"/>
              </w:rPr>
              <w:t xml:space="preserve">0,0478</w:t>
            </w:r>
          </w:p>
        </w:tc>
        <w:tc>
          <w:tcPr>
            <w:tcBorders>
              <w:top w:color="000000" w:space="0" w:sz="4" w:val="single"/>
              <w:bottom w:color="000000" w:space="0" w:sz="4" w:val="single"/>
            </w:tcBorders>
          </w:tcPr>
          <w:p w:rsidR="00000000" w:rsidDel="00000000" w:rsidP="00000000" w:rsidRDefault="00000000" w:rsidRPr="00000000" w14:paraId="000006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i w:val="0"/>
                <w:smallCaps w:val="0"/>
                <w:strike w:val="0"/>
                <w:color w:val="ff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
                <w:szCs w:val="20"/>
                <w:u w:val="none"/>
                <w:shd w:fill="auto" w:val="clear"/>
                <w:vertAlign w:val="baseline"/>
                <w:rtl w:val="0"/>
              </w:rPr>
              <w:t xml:space="preserve">0,212</w:t>
            </w:r>
          </w:p>
        </w:tc>
        <w:tc>
          <w:tcPr>
            <w:tcBorders>
              <w:top w:color="000000" w:space="0" w:sz="4" w:val="single"/>
              <w:bottom w:color="000000" w:space="0" w:sz="4" w:val="single"/>
            </w:tcBorders>
          </w:tcPr>
          <w:p w:rsidR="00000000" w:rsidDel="00000000" w:rsidP="00000000" w:rsidRDefault="00000000" w:rsidRPr="00000000" w14:paraId="000006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i w:val="0"/>
                <w:smallCaps w:val="0"/>
                <w:strike w:val="0"/>
                <w:color w:val="ff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
                <w:szCs w:val="20"/>
                <w:u w:val="none"/>
                <w:shd w:fill="auto" w:val="clear"/>
                <w:vertAlign w:val="baseline"/>
                <w:rtl w:val="0"/>
              </w:rPr>
              <w:t xml:space="preserve">0,0012</w:t>
            </w:r>
          </w:p>
        </w:tc>
      </w:tr>
    </w:tbl>
    <w:p w:rsidR="00000000" w:rsidDel="00000000" w:rsidP="00000000" w:rsidRDefault="00000000" w:rsidRPr="00000000" w14:paraId="000006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60" w:before="120" w:line="240" w:lineRule="auto"/>
        <w:ind w:left="1134" w:right="0" w:hanging="1134"/>
        <w:jc w:val="both"/>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heading=h.kgcv8k" w:id="68"/>
      <w:bookmarkEnd w:id="68"/>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Tabela 8.</w:t>
        <w:tab/>
        <w:t xml:space="preserve">Avaliação do coeficiente I de autocorrelação espacial de Moran com padronização bayesiana para taxas e pseudo-valor de P calculado para 9999 permutações da frequência absoluta dos agravos a seres humanos frente ao índice de vulnerabilidade da saúde (IVS), segundo o ano e grupo de espécies. Feira de Santana, BA. 2008-2019.</w:t>
      </w:r>
    </w:p>
    <w:tbl>
      <w:tblPr>
        <w:tblStyle w:val="Table10"/>
        <w:tblW w:w="8504.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346"/>
        <w:gridCol w:w="701"/>
        <w:gridCol w:w="1685"/>
        <w:gridCol w:w="701"/>
        <w:gridCol w:w="1685"/>
        <w:gridCol w:w="701"/>
        <w:gridCol w:w="1685"/>
        <w:tblGridChange w:id="0">
          <w:tblGrid>
            <w:gridCol w:w="1346"/>
            <w:gridCol w:w="701"/>
            <w:gridCol w:w="1685"/>
            <w:gridCol w:w="701"/>
            <w:gridCol w:w="1685"/>
            <w:gridCol w:w="701"/>
            <w:gridCol w:w="1685"/>
          </w:tblGrid>
        </w:tblGridChange>
      </w:tblGrid>
      <w:tr>
        <w:trPr>
          <w:cantSplit w:val="0"/>
          <w:tblHeader w:val="0"/>
        </w:trPr>
        <w:tc>
          <w:tcPr>
            <w:tcBorders>
              <w:top w:color="000000" w:space="0" w:sz="4" w:val="single"/>
              <w:bottom w:color="000000" w:space="0" w:sz="4" w:val="single"/>
            </w:tcBorders>
          </w:tcPr>
          <w:p w:rsidR="00000000" w:rsidDel="00000000" w:rsidP="00000000" w:rsidRDefault="00000000" w:rsidRPr="00000000" w14:paraId="000006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4" w:val="single"/>
              <w:bottom w:color="000000" w:space="0" w:sz="4" w:val="single"/>
            </w:tcBorders>
          </w:tcPr>
          <w:p w:rsidR="00000000" w:rsidDel="00000000" w:rsidP="00000000" w:rsidRDefault="00000000" w:rsidRPr="00000000" w14:paraId="000006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Carnívoros</w:t>
            </w:r>
          </w:p>
        </w:tc>
        <w:tc>
          <w:tcPr>
            <w:gridSpan w:val="2"/>
            <w:tcBorders>
              <w:top w:color="000000" w:space="0" w:sz="4" w:val="single"/>
              <w:bottom w:color="000000" w:space="0" w:sz="4" w:val="single"/>
            </w:tcBorders>
          </w:tcPr>
          <w:p w:rsidR="00000000" w:rsidDel="00000000" w:rsidP="00000000" w:rsidRDefault="00000000" w:rsidRPr="00000000" w14:paraId="000006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Herbívoros</w:t>
            </w:r>
          </w:p>
        </w:tc>
        <w:tc>
          <w:tcPr>
            <w:gridSpan w:val="2"/>
            <w:tcBorders>
              <w:top w:color="000000" w:space="0" w:sz="4" w:val="single"/>
              <w:bottom w:color="000000" w:space="0" w:sz="4" w:val="single"/>
            </w:tcBorders>
          </w:tcPr>
          <w:p w:rsidR="00000000" w:rsidDel="00000000" w:rsidP="00000000" w:rsidRDefault="00000000" w:rsidRPr="00000000" w14:paraId="000006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Silvestres/Sinantrópicos</w:t>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6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Anos</w:t>
            </w:r>
          </w:p>
        </w:tc>
        <w:tc>
          <w:tcPr>
            <w:tcBorders>
              <w:top w:color="000000" w:space="0" w:sz="4" w:val="single"/>
              <w:bottom w:color="000000" w:space="0" w:sz="4" w:val="single"/>
            </w:tcBorders>
            <w:vAlign w:val="center"/>
          </w:tcPr>
          <w:p w:rsidR="00000000" w:rsidDel="00000000" w:rsidP="00000000" w:rsidRDefault="00000000" w:rsidRPr="00000000" w14:paraId="000006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I</w:t>
            </w:r>
          </w:p>
        </w:tc>
        <w:tc>
          <w:tcPr>
            <w:tcBorders>
              <w:top w:color="000000" w:space="0" w:sz="4" w:val="single"/>
              <w:bottom w:color="000000" w:space="0" w:sz="4" w:val="single"/>
            </w:tcBorders>
            <w:vAlign w:val="center"/>
          </w:tcPr>
          <w:p w:rsidR="00000000" w:rsidDel="00000000" w:rsidP="00000000" w:rsidRDefault="00000000" w:rsidRPr="00000000" w14:paraId="000006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Pseudo-valor de P</w:t>
            </w:r>
          </w:p>
        </w:tc>
        <w:tc>
          <w:tcPr>
            <w:tcBorders>
              <w:top w:color="000000" w:space="0" w:sz="4" w:val="single"/>
              <w:bottom w:color="000000" w:space="0" w:sz="4" w:val="single"/>
            </w:tcBorders>
            <w:vAlign w:val="center"/>
          </w:tcPr>
          <w:p w:rsidR="00000000" w:rsidDel="00000000" w:rsidP="00000000" w:rsidRDefault="00000000" w:rsidRPr="00000000" w14:paraId="000006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I</w:t>
            </w:r>
          </w:p>
        </w:tc>
        <w:tc>
          <w:tcPr>
            <w:tcBorders>
              <w:top w:color="000000" w:space="0" w:sz="4" w:val="single"/>
              <w:bottom w:color="000000" w:space="0" w:sz="4" w:val="single"/>
            </w:tcBorders>
            <w:vAlign w:val="center"/>
          </w:tcPr>
          <w:p w:rsidR="00000000" w:rsidDel="00000000" w:rsidP="00000000" w:rsidRDefault="00000000" w:rsidRPr="00000000" w14:paraId="000006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Pseudo-valor de P</w:t>
            </w:r>
          </w:p>
        </w:tc>
        <w:tc>
          <w:tcPr>
            <w:tcBorders>
              <w:top w:color="000000" w:space="0" w:sz="4" w:val="single"/>
              <w:bottom w:color="000000" w:space="0" w:sz="4" w:val="single"/>
            </w:tcBorders>
            <w:vAlign w:val="center"/>
          </w:tcPr>
          <w:p w:rsidR="00000000" w:rsidDel="00000000" w:rsidP="00000000" w:rsidRDefault="00000000" w:rsidRPr="00000000" w14:paraId="000007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I</w:t>
            </w:r>
          </w:p>
        </w:tc>
        <w:tc>
          <w:tcPr>
            <w:tcBorders>
              <w:top w:color="000000" w:space="0" w:sz="4" w:val="single"/>
              <w:bottom w:color="000000" w:space="0" w:sz="4" w:val="single"/>
            </w:tcBorders>
            <w:vAlign w:val="center"/>
          </w:tcPr>
          <w:p w:rsidR="00000000" w:rsidDel="00000000" w:rsidP="00000000" w:rsidRDefault="00000000" w:rsidRPr="00000000" w14:paraId="000007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Pseudo-valor de P</w:t>
            </w:r>
          </w:p>
        </w:tc>
      </w:tr>
      <w:tr>
        <w:trPr>
          <w:cantSplit w:val="0"/>
          <w:tblHeader w:val="0"/>
        </w:trPr>
        <w:tc>
          <w:tcPr>
            <w:tcBorders>
              <w:top w:color="000000" w:space="0" w:sz="4" w:val="single"/>
            </w:tcBorders>
          </w:tcPr>
          <w:p w:rsidR="00000000" w:rsidDel="00000000" w:rsidP="00000000" w:rsidRDefault="00000000" w:rsidRPr="00000000" w14:paraId="000007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2008</w:t>
            </w:r>
          </w:p>
        </w:tc>
        <w:tc>
          <w:tcPr>
            <w:tcBorders>
              <w:top w:color="000000" w:space="0" w:sz="4" w:val="single"/>
            </w:tcBorders>
          </w:tcPr>
          <w:p w:rsidR="00000000" w:rsidDel="00000000" w:rsidP="00000000" w:rsidRDefault="00000000" w:rsidRPr="00000000" w14:paraId="000007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-0,037</w:t>
            </w:r>
          </w:p>
        </w:tc>
        <w:tc>
          <w:tcPr>
            <w:tcBorders>
              <w:top w:color="000000" w:space="0" w:sz="4" w:val="single"/>
            </w:tcBorders>
          </w:tcPr>
          <w:p w:rsidR="00000000" w:rsidDel="00000000" w:rsidP="00000000" w:rsidRDefault="00000000" w:rsidRPr="00000000" w14:paraId="000007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0,2639</w:t>
            </w:r>
          </w:p>
        </w:tc>
        <w:tc>
          <w:tcPr>
            <w:tcBorders>
              <w:top w:color="000000" w:space="0" w:sz="4" w:val="single"/>
            </w:tcBorders>
          </w:tcPr>
          <w:p w:rsidR="00000000" w:rsidDel="00000000" w:rsidP="00000000" w:rsidRDefault="00000000" w:rsidRPr="00000000" w14:paraId="000007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0,072</w:t>
            </w:r>
          </w:p>
        </w:tc>
        <w:tc>
          <w:tcPr>
            <w:tcBorders>
              <w:top w:color="000000" w:space="0" w:sz="4" w:val="single"/>
            </w:tcBorders>
          </w:tcPr>
          <w:p w:rsidR="00000000" w:rsidDel="00000000" w:rsidP="00000000" w:rsidRDefault="00000000" w:rsidRPr="00000000" w14:paraId="000007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0,1046</w:t>
            </w:r>
          </w:p>
        </w:tc>
        <w:tc>
          <w:tcPr>
            <w:tcBorders>
              <w:top w:color="000000" w:space="0" w:sz="4" w:val="single"/>
            </w:tcBorders>
          </w:tcPr>
          <w:p w:rsidR="00000000" w:rsidDel="00000000" w:rsidP="00000000" w:rsidRDefault="00000000" w:rsidRPr="00000000" w14:paraId="000007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i w:val="0"/>
                <w:smallCaps w:val="0"/>
                <w:strike w:val="0"/>
                <w:color w:val="ff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18"/>
                <w:szCs w:val="18"/>
                <w:u w:val="none"/>
                <w:shd w:fill="auto" w:val="clear"/>
                <w:vertAlign w:val="baseline"/>
                <w:rtl w:val="0"/>
              </w:rPr>
              <w:t xml:space="preserve">-0,114</w:t>
            </w:r>
          </w:p>
        </w:tc>
        <w:tc>
          <w:tcPr>
            <w:tcBorders>
              <w:top w:color="000000" w:space="0" w:sz="4" w:val="single"/>
            </w:tcBorders>
          </w:tcPr>
          <w:p w:rsidR="00000000" w:rsidDel="00000000" w:rsidP="00000000" w:rsidRDefault="00000000" w:rsidRPr="00000000" w14:paraId="000007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i w:val="0"/>
                <w:smallCaps w:val="0"/>
                <w:strike w:val="0"/>
                <w:color w:val="ff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18"/>
                <w:szCs w:val="18"/>
                <w:u w:val="none"/>
                <w:shd w:fill="auto" w:val="clear"/>
                <w:vertAlign w:val="baseline"/>
                <w:rtl w:val="0"/>
              </w:rPr>
              <w:t xml:space="preserve">0,0277</w:t>
            </w:r>
          </w:p>
        </w:tc>
      </w:tr>
      <w:tr>
        <w:trPr>
          <w:cantSplit w:val="0"/>
          <w:tblHeader w:val="0"/>
        </w:trPr>
        <w:tc>
          <w:tcPr/>
          <w:p w:rsidR="00000000" w:rsidDel="00000000" w:rsidP="00000000" w:rsidRDefault="00000000" w:rsidRPr="00000000" w14:paraId="000007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2009</w:t>
            </w:r>
          </w:p>
        </w:tc>
        <w:tc>
          <w:tcPr/>
          <w:p w:rsidR="00000000" w:rsidDel="00000000" w:rsidP="00000000" w:rsidRDefault="00000000" w:rsidRPr="00000000" w14:paraId="000007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-0,094</w:t>
            </w:r>
          </w:p>
        </w:tc>
        <w:tc>
          <w:tcPr/>
          <w:p w:rsidR="00000000" w:rsidDel="00000000" w:rsidP="00000000" w:rsidRDefault="00000000" w:rsidRPr="00000000" w14:paraId="000007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0,0556</w:t>
            </w:r>
          </w:p>
        </w:tc>
        <w:tc>
          <w:tcPr/>
          <w:p w:rsidR="00000000" w:rsidDel="00000000" w:rsidP="00000000" w:rsidRDefault="00000000" w:rsidRPr="00000000" w14:paraId="000007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-0,054</w:t>
            </w:r>
          </w:p>
        </w:tc>
        <w:tc>
          <w:tcPr/>
          <w:p w:rsidR="00000000" w:rsidDel="00000000" w:rsidP="00000000" w:rsidRDefault="00000000" w:rsidRPr="00000000" w14:paraId="000007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0,1699</w:t>
            </w:r>
          </w:p>
        </w:tc>
        <w:tc>
          <w:tcPr/>
          <w:p w:rsidR="00000000" w:rsidDel="00000000" w:rsidP="00000000" w:rsidRDefault="00000000" w:rsidRPr="00000000" w14:paraId="000007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i w:val="0"/>
                <w:smallCaps w:val="0"/>
                <w:strike w:val="0"/>
                <w:color w:val="ff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18"/>
                <w:szCs w:val="18"/>
                <w:u w:val="none"/>
                <w:shd w:fill="auto" w:val="clear"/>
                <w:vertAlign w:val="baseline"/>
                <w:rtl w:val="0"/>
              </w:rPr>
              <w:t xml:space="preserve">-0,196</w:t>
            </w:r>
          </w:p>
        </w:tc>
        <w:tc>
          <w:tcPr/>
          <w:p w:rsidR="00000000" w:rsidDel="00000000" w:rsidP="00000000" w:rsidRDefault="00000000" w:rsidRPr="00000000" w14:paraId="000007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i w:val="0"/>
                <w:smallCaps w:val="0"/>
                <w:strike w:val="0"/>
                <w:color w:val="ff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18"/>
                <w:szCs w:val="18"/>
                <w:u w:val="none"/>
                <w:shd w:fill="auto" w:val="clear"/>
                <w:vertAlign w:val="baseline"/>
                <w:rtl w:val="0"/>
              </w:rPr>
              <w:t xml:space="preserve">0,0017</w:t>
            </w:r>
          </w:p>
        </w:tc>
      </w:tr>
      <w:tr>
        <w:trPr>
          <w:cantSplit w:val="0"/>
          <w:tblHeader w:val="0"/>
        </w:trPr>
        <w:tc>
          <w:tcPr/>
          <w:p w:rsidR="00000000" w:rsidDel="00000000" w:rsidP="00000000" w:rsidRDefault="00000000" w:rsidRPr="00000000" w14:paraId="000007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2010</w:t>
            </w:r>
          </w:p>
        </w:tc>
        <w:tc>
          <w:tcPr/>
          <w:p w:rsidR="00000000" w:rsidDel="00000000" w:rsidP="00000000" w:rsidRDefault="00000000" w:rsidRPr="00000000" w14:paraId="000007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i w:val="0"/>
                <w:smallCaps w:val="0"/>
                <w:strike w:val="0"/>
                <w:color w:val="ff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18"/>
                <w:szCs w:val="18"/>
                <w:u w:val="none"/>
                <w:shd w:fill="auto" w:val="clear"/>
                <w:vertAlign w:val="baseline"/>
                <w:rtl w:val="0"/>
              </w:rPr>
              <w:t xml:space="preserve">-0,231</w:t>
            </w:r>
          </w:p>
        </w:tc>
        <w:tc>
          <w:tcPr/>
          <w:p w:rsidR="00000000" w:rsidDel="00000000" w:rsidP="00000000" w:rsidRDefault="00000000" w:rsidRPr="00000000" w14:paraId="000007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i w:val="0"/>
                <w:smallCaps w:val="0"/>
                <w:strike w:val="0"/>
                <w:color w:val="ff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18"/>
                <w:szCs w:val="18"/>
                <w:u w:val="none"/>
                <w:shd w:fill="auto" w:val="clear"/>
                <w:vertAlign w:val="baseline"/>
                <w:rtl w:val="0"/>
              </w:rPr>
              <w:t xml:space="preserve">0,0010</w:t>
            </w:r>
          </w:p>
        </w:tc>
        <w:tc>
          <w:tcPr/>
          <w:p w:rsidR="00000000" w:rsidDel="00000000" w:rsidP="00000000" w:rsidRDefault="00000000" w:rsidRPr="00000000" w14:paraId="000007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i w:val="0"/>
                <w:smallCaps w:val="0"/>
                <w:strike w:val="0"/>
                <w:color w:val="ff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18"/>
                <w:szCs w:val="18"/>
                <w:u w:val="none"/>
                <w:shd w:fill="auto" w:val="clear"/>
                <w:vertAlign w:val="baseline"/>
                <w:rtl w:val="0"/>
              </w:rPr>
              <w:t xml:space="preserve">-0,187</w:t>
            </w:r>
          </w:p>
        </w:tc>
        <w:tc>
          <w:tcPr/>
          <w:p w:rsidR="00000000" w:rsidDel="00000000" w:rsidP="00000000" w:rsidRDefault="00000000" w:rsidRPr="00000000" w14:paraId="000007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i w:val="0"/>
                <w:smallCaps w:val="0"/>
                <w:strike w:val="0"/>
                <w:color w:val="ff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18"/>
                <w:szCs w:val="18"/>
                <w:u w:val="none"/>
                <w:shd w:fill="auto" w:val="clear"/>
                <w:vertAlign w:val="baseline"/>
                <w:rtl w:val="0"/>
              </w:rPr>
              <w:t xml:space="preserve">0,0017</w:t>
            </w:r>
          </w:p>
        </w:tc>
        <w:tc>
          <w:tcPr/>
          <w:p w:rsidR="00000000" w:rsidDel="00000000" w:rsidP="00000000" w:rsidRDefault="00000000" w:rsidRPr="00000000" w14:paraId="000007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i w:val="0"/>
                <w:smallCaps w:val="0"/>
                <w:strike w:val="0"/>
                <w:color w:val="ff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18"/>
                <w:szCs w:val="18"/>
                <w:u w:val="none"/>
                <w:shd w:fill="auto" w:val="clear"/>
                <w:vertAlign w:val="baseline"/>
                <w:rtl w:val="0"/>
              </w:rPr>
              <w:t xml:space="preserve">-0,248</w:t>
            </w:r>
          </w:p>
        </w:tc>
        <w:tc>
          <w:tcPr/>
          <w:p w:rsidR="00000000" w:rsidDel="00000000" w:rsidP="00000000" w:rsidRDefault="00000000" w:rsidRPr="00000000" w14:paraId="000007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i w:val="0"/>
                <w:smallCaps w:val="0"/>
                <w:strike w:val="0"/>
                <w:color w:val="ff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18"/>
                <w:szCs w:val="18"/>
                <w:u w:val="none"/>
                <w:shd w:fill="auto" w:val="clear"/>
                <w:vertAlign w:val="baseline"/>
                <w:rtl w:val="0"/>
              </w:rPr>
              <w:t xml:space="preserve">0,0005</w:t>
            </w:r>
          </w:p>
        </w:tc>
      </w:tr>
      <w:tr>
        <w:trPr>
          <w:cantSplit w:val="0"/>
          <w:tblHeader w:val="0"/>
        </w:trPr>
        <w:tc>
          <w:tcPr/>
          <w:p w:rsidR="00000000" w:rsidDel="00000000" w:rsidP="00000000" w:rsidRDefault="00000000" w:rsidRPr="00000000" w14:paraId="000007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2011</w:t>
            </w:r>
          </w:p>
        </w:tc>
        <w:tc>
          <w:tcPr/>
          <w:p w:rsidR="00000000" w:rsidDel="00000000" w:rsidP="00000000" w:rsidRDefault="00000000" w:rsidRPr="00000000" w14:paraId="000007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-0,033</w:t>
            </w:r>
          </w:p>
        </w:tc>
        <w:tc>
          <w:tcPr/>
          <w:p w:rsidR="00000000" w:rsidDel="00000000" w:rsidP="00000000" w:rsidRDefault="00000000" w:rsidRPr="00000000" w14:paraId="000007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0,2816</w:t>
            </w:r>
          </w:p>
        </w:tc>
        <w:tc>
          <w:tcPr/>
          <w:p w:rsidR="00000000" w:rsidDel="00000000" w:rsidP="00000000" w:rsidRDefault="00000000" w:rsidRPr="00000000" w14:paraId="000007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-0,005</w:t>
            </w:r>
          </w:p>
        </w:tc>
        <w:tc>
          <w:tcPr/>
          <w:p w:rsidR="00000000" w:rsidDel="00000000" w:rsidP="00000000" w:rsidRDefault="00000000" w:rsidRPr="00000000" w14:paraId="000007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0,4670</w:t>
            </w:r>
          </w:p>
        </w:tc>
        <w:tc>
          <w:tcPr/>
          <w:p w:rsidR="00000000" w:rsidDel="00000000" w:rsidP="00000000" w:rsidRDefault="00000000" w:rsidRPr="00000000" w14:paraId="000007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-0,005</w:t>
            </w:r>
          </w:p>
        </w:tc>
        <w:tc>
          <w:tcPr/>
          <w:p w:rsidR="00000000" w:rsidDel="00000000" w:rsidP="00000000" w:rsidRDefault="00000000" w:rsidRPr="00000000" w14:paraId="000007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0,4586</w:t>
            </w:r>
          </w:p>
        </w:tc>
      </w:tr>
      <w:tr>
        <w:trPr>
          <w:cantSplit w:val="0"/>
          <w:tblHeader w:val="0"/>
        </w:trPr>
        <w:tc>
          <w:tcPr/>
          <w:p w:rsidR="00000000" w:rsidDel="00000000" w:rsidP="00000000" w:rsidRDefault="00000000" w:rsidRPr="00000000" w14:paraId="000007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2012</w:t>
            </w:r>
          </w:p>
        </w:tc>
        <w:tc>
          <w:tcPr/>
          <w:p w:rsidR="00000000" w:rsidDel="00000000" w:rsidP="00000000" w:rsidRDefault="00000000" w:rsidRPr="00000000" w14:paraId="000007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0,011</w:t>
            </w:r>
          </w:p>
        </w:tc>
        <w:tc>
          <w:tcPr/>
          <w:p w:rsidR="00000000" w:rsidDel="00000000" w:rsidP="00000000" w:rsidRDefault="00000000" w:rsidRPr="00000000" w14:paraId="000007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0,3986</w:t>
            </w:r>
          </w:p>
        </w:tc>
        <w:tc>
          <w:tcPr/>
          <w:p w:rsidR="00000000" w:rsidDel="00000000" w:rsidP="00000000" w:rsidRDefault="00000000" w:rsidRPr="00000000" w14:paraId="000007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i w:val="0"/>
                <w:smallCaps w:val="0"/>
                <w:strike w:val="0"/>
                <w:color w:val="ff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18"/>
                <w:szCs w:val="18"/>
                <w:u w:val="none"/>
                <w:shd w:fill="auto" w:val="clear"/>
                <w:vertAlign w:val="baseline"/>
                <w:rtl w:val="0"/>
              </w:rPr>
              <w:t xml:space="preserve">0,131</w:t>
            </w:r>
          </w:p>
        </w:tc>
        <w:tc>
          <w:tcPr/>
          <w:p w:rsidR="00000000" w:rsidDel="00000000" w:rsidP="00000000" w:rsidRDefault="00000000" w:rsidRPr="00000000" w14:paraId="000007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i w:val="0"/>
                <w:smallCaps w:val="0"/>
                <w:strike w:val="0"/>
                <w:color w:val="ff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18"/>
                <w:szCs w:val="18"/>
                <w:u w:val="none"/>
                <w:shd w:fill="auto" w:val="clear"/>
                <w:vertAlign w:val="baseline"/>
                <w:rtl w:val="0"/>
              </w:rPr>
              <w:t xml:space="preserve">0,0189</w:t>
            </w:r>
          </w:p>
        </w:tc>
        <w:tc>
          <w:tcPr/>
          <w:p w:rsidR="00000000" w:rsidDel="00000000" w:rsidP="00000000" w:rsidRDefault="00000000" w:rsidRPr="00000000" w14:paraId="000007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-0,051</w:t>
            </w:r>
          </w:p>
        </w:tc>
        <w:tc>
          <w:tcPr/>
          <w:p w:rsidR="00000000" w:rsidDel="00000000" w:rsidP="00000000" w:rsidRDefault="00000000" w:rsidRPr="00000000" w14:paraId="000007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0,1954</w:t>
            </w:r>
          </w:p>
        </w:tc>
      </w:tr>
      <w:tr>
        <w:trPr>
          <w:cantSplit w:val="0"/>
          <w:tblHeader w:val="0"/>
        </w:trPr>
        <w:tc>
          <w:tcPr/>
          <w:p w:rsidR="00000000" w:rsidDel="00000000" w:rsidP="00000000" w:rsidRDefault="00000000" w:rsidRPr="00000000" w14:paraId="000007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2013</w:t>
            </w:r>
          </w:p>
        </w:tc>
        <w:tc>
          <w:tcPr/>
          <w:p w:rsidR="00000000" w:rsidDel="00000000" w:rsidP="00000000" w:rsidRDefault="00000000" w:rsidRPr="00000000" w14:paraId="000007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i w:val="0"/>
                <w:smallCaps w:val="0"/>
                <w:strike w:val="0"/>
                <w:color w:val="ff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18"/>
                <w:szCs w:val="18"/>
                <w:u w:val="none"/>
                <w:shd w:fill="auto" w:val="clear"/>
                <w:vertAlign w:val="baseline"/>
                <w:rtl w:val="0"/>
              </w:rPr>
              <w:t xml:space="preserve">0,269</w:t>
            </w:r>
          </w:p>
        </w:tc>
        <w:tc>
          <w:tcPr/>
          <w:p w:rsidR="00000000" w:rsidDel="00000000" w:rsidP="00000000" w:rsidRDefault="00000000" w:rsidRPr="00000000" w14:paraId="000007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i w:val="0"/>
                <w:smallCaps w:val="0"/>
                <w:strike w:val="0"/>
                <w:color w:val="ff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18"/>
                <w:szCs w:val="18"/>
                <w:u w:val="none"/>
                <w:shd w:fill="auto" w:val="clear"/>
                <w:vertAlign w:val="baseline"/>
                <w:rtl w:val="0"/>
              </w:rPr>
              <w:t xml:space="preserve">0,0020</w:t>
            </w:r>
          </w:p>
        </w:tc>
        <w:tc>
          <w:tcPr/>
          <w:p w:rsidR="00000000" w:rsidDel="00000000" w:rsidP="00000000" w:rsidRDefault="00000000" w:rsidRPr="00000000" w14:paraId="000007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i w:val="0"/>
                <w:smallCaps w:val="0"/>
                <w:strike w:val="0"/>
                <w:color w:val="ff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18"/>
                <w:szCs w:val="18"/>
                <w:u w:val="none"/>
                <w:shd w:fill="auto" w:val="clear"/>
                <w:vertAlign w:val="baseline"/>
                <w:rtl w:val="0"/>
              </w:rPr>
              <w:t xml:space="preserve">0,307</w:t>
            </w:r>
          </w:p>
        </w:tc>
        <w:tc>
          <w:tcPr/>
          <w:p w:rsidR="00000000" w:rsidDel="00000000" w:rsidP="00000000" w:rsidRDefault="00000000" w:rsidRPr="00000000" w14:paraId="000007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i w:val="0"/>
                <w:smallCaps w:val="0"/>
                <w:strike w:val="0"/>
                <w:color w:val="ff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18"/>
                <w:szCs w:val="18"/>
                <w:u w:val="none"/>
                <w:shd w:fill="auto" w:val="clear"/>
                <w:vertAlign w:val="baseline"/>
                <w:rtl w:val="0"/>
              </w:rPr>
              <w:t xml:space="preserve">0,0002</w:t>
            </w:r>
          </w:p>
        </w:tc>
        <w:tc>
          <w:tcPr/>
          <w:p w:rsidR="00000000" w:rsidDel="00000000" w:rsidP="00000000" w:rsidRDefault="00000000" w:rsidRPr="00000000" w14:paraId="000007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i w:val="0"/>
                <w:smallCaps w:val="0"/>
                <w:strike w:val="0"/>
                <w:color w:val="ff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18"/>
                <w:szCs w:val="18"/>
                <w:u w:val="none"/>
                <w:shd w:fill="auto" w:val="clear"/>
                <w:vertAlign w:val="baseline"/>
                <w:rtl w:val="0"/>
              </w:rPr>
              <w:t xml:space="preserve">0,278</w:t>
            </w:r>
          </w:p>
        </w:tc>
        <w:tc>
          <w:tcPr/>
          <w:p w:rsidR="00000000" w:rsidDel="00000000" w:rsidP="00000000" w:rsidRDefault="00000000" w:rsidRPr="00000000" w14:paraId="000007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i w:val="0"/>
                <w:smallCaps w:val="0"/>
                <w:strike w:val="0"/>
                <w:color w:val="ff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18"/>
                <w:szCs w:val="18"/>
                <w:u w:val="none"/>
                <w:shd w:fill="auto" w:val="clear"/>
                <w:vertAlign w:val="baseline"/>
                <w:rtl w:val="0"/>
              </w:rPr>
              <w:t xml:space="preserve">0,0002</w:t>
            </w:r>
          </w:p>
        </w:tc>
      </w:tr>
      <w:tr>
        <w:trPr>
          <w:cantSplit w:val="0"/>
          <w:tblHeader w:val="0"/>
        </w:trPr>
        <w:tc>
          <w:tcPr/>
          <w:p w:rsidR="00000000" w:rsidDel="00000000" w:rsidP="00000000" w:rsidRDefault="00000000" w:rsidRPr="00000000" w14:paraId="000007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2014</w:t>
            </w:r>
          </w:p>
        </w:tc>
        <w:tc>
          <w:tcPr/>
          <w:p w:rsidR="00000000" w:rsidDel="00000000" w:rsidP="00000000" w:rsidRDefault="00000000" w:rsidRPr="00000000" w14:paraId="000007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-0,091</w:t>
            </w:r>
          </w:p>
        </w:tc>
        <w:tc>
          <w:tcPr/>
          <w:p w:rsidR="00000000" w:rsidDel="00000000" w:rsidP="00000000" w:rsidRDefault="00000000" w:rsidRPr="00000000" w14:paraId="000007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0,0582</w:t>
            </w:r>
          </w:p>
        </w:tc>
        <w:tc>
          <w:tcPr/>
          <w:p w:rsidR="00000000" w:rsidDel="00000000" w:rsidP="00000000" w:rsidRDefault="00000000" w:rsidRPr="00000000" w14:paraId="000007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-0,013</w:t>
            </w:r>
          </w:p>
        </w:tc>
        <w:tc>
          <w:tcPr/>
          <w:p w:rsidR="00000000" w:rsidDel="00000000" w:rsidP="00000000" w:rsidRDefault="00000000" w:rsidRPr="00000000" w14:paraId="000007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0,4165</w:t>
            </w:r>
          </w:p>
        </w:tc>
        <w:tc>
          <w:tcPr/>
          <w:p w:rsidR="00000000" w:rsidDel="00000000" w:rsidP="00000000" w:rsidRDefault="00000000" w:rsidRPr="00000000" w14:paraId="000007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-0,082</w:t>
            </w:r>
          </w:p>
        </w:tc>
        <w:tc>
          <w:tcPr/>
          <w:p w:rsidR="00000000" w:rsidDel="00000000" w:rsidP="00000000" w:rsidRDefault="00000000" w:rsidRPr="00000000" w14:paraId="000007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0,0800</w:t>
            </w:r>
          </w:p>
        </w:tc>
      </w:tr>
      <w:tr>
        <w:trPr>
          <w:cantSplit w:val="0"/>
          <w:tblHeader w:val="0"/>
        </w:trPr>
        <w:tc>
          <w:tcPr/>
          <w:p w:rsidR="00000000" w:rsidDel="00000000" w:rsidP="00000000" w:rsidRDefault="00000000" w:rsidRPr="00000000" w14:paraId="000007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2015</w:t>
            </w:r>
          </w:p>
        </w:tc>
        <w:tc>
          <w:tcPr/>
          <w:p w:rsidR="00000000" w:rsidDel="00000000" w:rsidP="00000000" w:rsidRDefault="00000000" w:rsidRPr="00000000" w14:paraId="000007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-0,057</w:t>
            </w:r>
          </w:p>
        </w:tc>
        <w:tc>
          <w:tcPr/>
          <w:p w:rsidR="00000000" w:rsidDel="00000000" w:rsidP="00000000" w:rsidRDefault="00000000" w:rsidRPr="00000000" w14:paraId="000007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0,1603</w:t>
            </w:r>
          </w:p>
        </w:tc>
        <w:tc>
          <w:tcPr/>
          <w:p w:rsidR="00000000" w:rsidDel="00000000" w:rsidP="00000000" w:rsidRDefault="00000000" w:rsidRPr="00000000" w14:paraId="000007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-0,036</w:t>
            </w:r>
          </w:p>
        </w:tc>
        <w:tc>
          <w:tcPr/>
          <w:p w:rsidR="00000000" w:rsidDel="00000000" w:rsidP="00000000" w:rsidRDefault="00000000" w:rsidRPr="00000000" w14:paraId="000007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0,2646</w:t>
            </w:r>
          </w:p>
        </w:tc>
        <w:tc>
          <w:tcPr/>
          <w:p w:rsidR="00000000" w:rsidDel="00000000" w:rsidP="00000000" w:rsidRDefault="00000000" w:rsidRPr="00000000" w14:paraId="000007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-0,055</w:t>
            </w:r>
          </w:p>
        </w:tc>
        <w:tc>
          <w:tcPr/>
          <w:p w:rsidR="00000000" w:rsidDel="00000000" w:rsidP="00000000" w:rsidRDefault="00000000" w:rsidRPr="00000000" w14:paraId="000007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0,1640</w:t>
            </w:r>
          </w:p>
        </w:tc>
      </w:tr>
      <w:tr>
        <w:trPr>
          <w:cantSplit w:val="0"/>
          <w:tblHeader w:val="0"/>
        </w:trPr>
        <w:tc>
          <w:tcPr/>
          <w:p w:rsidR="00000000" w:rsidDel="00000000" w:rsidP="00000000" w:rsidRDefault="00000000" w:rsidRPr="00000000" w14:paraId="000007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2016</w:t>
            </w:r>
          </w:p>
        </w:tc>
        <w:tc>
          <w:tcPr/>
          <w:p w:rsidR="00000000" w:rsidDel="00000000" w:rsidP="00000000" w:rsidRDefault="00000000" w:rsidRPr="00000000" w14:paraId="000007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0,021</w:t>
            </w:r>
          </w:p>
        </w:tc>
        <w:tc>
          <w:tcPr/>
          <w:p w:rsidR="00000000" w:rsidDel="00000000" w:rsidP="00000000" w:rsidRDefault="00000000" w:rsidRPr="00000000" w14:paraId="000007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0,3541</w:t>
            </w:r>
          </w:p>
        </w:tc>
        <w:tc>
          <w:tcPr/>
          <w:p w:rsidR="00000000" w:rsidDel="00000000" w:rsidP="00000000" w:rsidRDefault="00000000" w:rsidRPr="00000000" w14:paraId="000007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i w:val="0"/>
                <w:smallCaps w:val="0"/>
                <w:strike w:val="0"/>
                <w:color w:val="ff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18"/>
                <w:szCs w:val="18"/>
                <w:u w:val="none"/>
                <w:shd w:fill="auto" w:val="clear"/>
                <w:vertAlign w:val="baseline"/>
                <w:rtl w:val="0"/>
              </w:rPr>
              <w:t xml:space="preserve">0,168</w:t>
            </w:r>
          </w:p>
        </w:tc>
        <w:tc>
          <w:tcPr/>
          <w:p w:rsidR="00000000" w:rsidDel="00000000" w:rsidP="00000000" w:rsidRDefault="00000000" w:rsidRPr="00000000" w14:paraId="000007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i w:val="0"/>
                <w:smallCaps w:val="0"/>
                <w:strike w:val="0"/>
                <w:color w:val="ff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18"/>
                <w:szCs w:val="18"/>
                <w:u w:val="none"/>
                <w:shd w:fill="auto" w:val="clear"/>
                <w:vertAlign w:val="baseline"/>
                <w:rtl w:val="0"/>
              </w:rPr>
              <w:t xml:space="preserve">0,0052</w:t>
            </w:r>
          </w:p>
        </w:tc>
        <w:tc>
          <w:tcPr/>
          <w:p w:rsidR="00000000" w:rsidDel="00000000" w:rsidP="00000000" w:rsidRDefault="00000000" w:rsidRPr="00000000" w14:paraId="000007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0,009</w:t>
            </w:r>
          </w:p>
        </w:tc>
        <w:tc>
          <w:tcPr/>
          <w:p w:rsidR="00000000" w:rsidDel="00000000" w:rsidP="00000000" w:rsidRDefault="00000000" w:rsidRPr="00000000" w14:paraId="000007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0,4378</w:t>
            </w:r>
          </w:p>
        </w:tc>
      </w:tr>
      <w:tr>
        <w:trPr>
          <w:cantSplit w:val="0"/>
          <w:tblHeader w:val="0"/>
        </w:trPr>
        <w:tc>
          <w:tcPr/>
          <w:p w:rsidR="00000000" w:rsidDel="00000000" w:rsidP="00000000" w:rsidRDefault="00000000" w:rsidRPr="00000000" w14:paraId="000007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2017</w:t>
            </w:r>
          </w:p>
        </w:tc>
        <w:tc>
          <w:tcPr/>
          <w:p w:rsidR="00000000" w:rsidDel="00000000" w:rsidP="00000000" w:rsidRDefault="00000000" w:rsidRPr="00000000" w14:paraId="000007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i w:val="0"/>
                <w:smallCaps w:val="0"/>
                <w:strike w:val="0"/>
                <w:color w:val="ff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18"/>
                <w:szCs w:val="18"/>
                <w:u w:val="none"/>
                <w:shd w:fill="auto" w:val="clear"/>
                <w:vertAlign w:val="baseline"/>
                <w:rtl w:val="0"/>
              </w:rPr>
              <w:t xml:space="preserve">-0,121</w:t>
            </w:r>
          </w:p>
        </w:tc>
        <w:tc>
          <w:tcPr/>
          <w:p w:rsidR="00000000" w:rsidDel="00000000" w:rsidP="00000000" w:rsidRDefault="00000000" w:rsidRPr="00000000" w14:paraId="000007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i w:val="0"/>
                <w:smallCaps w:val="0"/>
                <w:strike w:val="0"/>
                <w:color w:val="ff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18"/>
                <w:szCs w:val="18"/>
                <w:u w:val="none"/>
                <w:shd w:fill="auto" w:val="clear"/>
                <w:vertAlign w:val="baseline"/>
                <w:rtl w:val="0"/>
              </w:rPr>
              <w:t xml:space="preserve">0,0250</w:t>
            </w:r>
          </w:p>
        </w:tc>
        <w:tc>
          <w:tcPr/>
          <w:p w:rsidR="00000000" w:rsidDel="00000000" w:rsidP="00000000" w:rsidRDefault="00000000" w:rsidRPr="00000000" w14:paraId="000007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-0,073</w:t>
            </w:r>
          </w:p>
        </w:tc>
        <w:tc>
          <w:tcPr/>
          <w:p w:rsidR="00000000" w:rsidDel="00000000" w:rsidP="00000000" w:rsidRDefault="00000000" w:rsidRPr="00000000" w14:paraId="000007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0,1052</w:t>
            </w:r>
          </w:p>
        </w:tc>
        <w:tc>
          <w:tcPr/>
          <w:p w:rsidR="00000000" w:rsidDel="00000000" w:rsidP="00000000" w:rsidRDefault="00000000" w:rsidRPr="00000000" w14:paraId="000007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i w:val="0"/>
                <w:smallCaps w:val="0"/>
                <w:strike w:val="0"/>
                <w:color w:val="ff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18"/>
                <w:szCs w:val="18"/>
                <w:u w:val="none"/>
                <w:shd w:fill="auto" w:val="clear"/>
                <w:vertAlign w:val="baseline"/>
                <w:rtl w:val="0"/>
              </w:rPr>
              <w:t xml:space="preserve">-0,125</w:t>
            </w:r>
          </w:p>
        </w:tc>
        <w:tc>
          <w:tcPr/>
          <w:p w:rsidR="00000000" w:rsidDel="00000000" w:rsidP="00000000" w:rsidRDefault="00000000" w:rsidRPr="00000000" w14:paraId="000007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i w:val="0"/>
                <w:smallCaps w:val="0"/>
                <w:strike w:val="0"/>
                <w:color w:val="ff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18"/>
                <w:szCs w:val="18"/>
                <w:u w:val="none"/>
                <w:shd w:fill="auto" w:val="clear"/>
                <w:vertAlign w:val="baseline"/>
                <w:rtl w:val="0"/>
              </w:rPr>
              <w:t xml:space="preserve">0,0209</w:t>
            </w:r>
          </w:p>
        </w:tc>
      </w:tr>
      <w:tr>
        <w:trPr>
          <w:cantSplit w:val="0"/>
          <w:tblHeader w:val="0"/>
        </w:trPr>
        <w:tc>
          <w:tcPr/>
          <w:p w:rsidR="00000000" w:rsidDel="00000000" w:rsidP="00000000" w:rsidRDefault="00000000" w:rsidRPr="00000000" w14:paraId="000007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2018</w:t>
            </w:r>
          </w:p>
        </w:tc>
        <w:tc>
          <w:tcPr/>
          <w:p w:rsidR="00000000" w:rsidDel="00000000" w:rsidP="00000000" w:rsidRDefault="00000000" w:rsidRPr="00000000" w14:paraId="000007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i w:val="0"/>
                <w:smallCaps w:val="0"/>
                <w:strike w:val="0"/>
                <w:color w:val="ff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18"/>
                <w:szCs w:val="18"/>
                <w:u w:val="none"/>
                <w:shd w:fill="auto" w:val="clear"/>
                <w:vertAlign w:val="baseline"/>
                <w:rtl w:val="0"/>
              </w:rPr>
              <w:t xml:space="preserve">-0,101</w:t>
            </w:r>
          </w:p>
        </w:tc>
        <w:tc>
          <w:tcPr/>
          <w:p w:rsidR="00000000" w:rsidDel="00000000" w:rsidP="00000000" w:rsidRDefault="00000000" w:rsidRPr="00000000" w14:paraId="000007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i w:val="0"/>
                <w:smallCaps w:val="0"/>
                <w:strike w:val="0"/>
                <w:color w:val="ff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18"/>
                <w:szCs w:val="18"/>
                <w:u w:val="none"/>
                <w:shd w:fill="auto" w:val="clear"/>
                <w:vertAlign w:val="baseline"/>
                <w:rtl w:val="0"/>
              </w:rPr>
              <w:t xml:space="preserve">0,0431</w:t>
            </w:r>
          </w:p>
        </w:tc>
        <w:tc>
          <w:tcPr/>
          <w:p w:rsidR="00000000" w:rsidDel="00000000" w:rsidP="00000000" w:rsidRDefault="00000000" w:rsidRPr="00000000" w14:paraId="000007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-0,018</w:t>
            </w:r>
          </w:p>
        </w:tc>
        <w:tc>
          <w:tcPr/>
          <w:p w:rsidR="00000000" w:rsidDel="00000000" w:rsidP="00000000" w:rsidRDefault="00000000" w:rsidRPr="00000000" w14:paraId="000007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0,3821</w:t>
            </w:r>
          </w:p>
        </w:tc>
        <w:tc>
          <w:tcPr/>
          <w:p w:rsidR="00000000" w:rsidDel="00000000" w:rsidP="00000000" w:rsidRDefault="00000000" w:rsidRPr="00000000" w14:paraId="000007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i w:val="0"/>
                <w:smallCaps w:val="0"/>
                <w:strike w:val="0"/>
                <w:color w:val="ff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18"/>
                <w:szCs w:val="18"/>
                <w:u w:val="none"/>
                <w:shd w:fill="auto" w:val="clear"/>
                <w:vertAlign w:val="baseline"/>
                <w:rtl w:val="0"/>
              </w:rPr>
              <w:t xml:space="preserve">-0,141</w:t>
            </w:r>
          </w:p>
        </w:tc>
        <w:tc>
          <w:tcPr/>
          <w:p w:rsidR="00000000" w:rsidDel="00000000" w:rsidP="00000000" w:rsidRDefault="00000000" w:rsidRPr="00000000" w14:paraId="000007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i w:val="0"/>
                <w:smallCaps w:val="0"/>
                <w:strike w:val="0"/>
                <w:color w:val="ff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18"/>
                <w:szCs w:val="18"/>
                <w:u w:val="none"/>
                <w:shd w:fill="auto" w:val="clear"/>
                <w:vertAlign w:val="baseline"/>
                <w:rtl w:val="0"/>
              </w:rPr>
              <w:t xml:space="preserve">0,0126</w:t>
            </w:r>
          </w:p>
        </w:tc>
      </w:tr>
      <w:tr>
        <w:trPr>
          <w:cantSplit w:val="0"/>
          <w:tblHeader w:val="0"/>
        </w:trPr>
        <w:tc>
          <w:tcPr>
            <w:tcBorders>
              <w:bottom w:color="000000" w:space="0" w:sz="4" w:val="single"/>
            </w:tcBorders>
          </w:tcPr>
          <w:p w:rsidR="00000000" w:rsidDel="00000000" w:rsidP="00000000" w:rsidRDefault="00000000" w:rsidRPr="00000000" w14:paraId="000007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2019</w:t>
            </w:r>
          </w:p>
        </w:tc>
        <w:tc>
          <w:tcPr>
            <w:tcBorders>
              <w:bottom w:color="000000" w:space="0" w:sz="4" w:val="single"/>
            </w:tcBorders>
          </w:tcPr>
          <w:p w:rsidR="00000000" w:rsidDel="00000000" w:rsidP="00000000" w:rsidRDefault="00000000" w:rsidRPr="00000000" w14:paraId="000007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i w:val="0"/>
                <w:smallCaps w:val="0"/>
                <w:strike w:val="0"/>
                <w:color w:val="ff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18"/>
                <w:szCs w:val="18"/>
                <w:u w:val="none"/>
                <w:shd w:fill="auto" w:val="clear"/>
                <w:vertAlign w:val="baseline"/>
                <w:rtl w:val="0"/>
              </w:rPr>
              <w:t xml:space="preserve">-0,123</w:t>
            </w:r>
          </w:p>
        </w:tc>
        <w:tc>
          <w:tcPr>
            <w:tcBorders>
              <w:bottom w:color="000000" w:space="0" w:sz="4" w:val="single"/>
            </w:tcBorders>
          </w:tcPr>
          <w:p w:rsidR="00000000" w:rsidDel="00000000" w:rsidP="00000000" w:rsidRDefault="00000000" w:rsidRPr="00000000" w14:paraId="000007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i w:val="0"/>
                <w:smallCaps w:val="0"/>
                <w:strike w:val="0"/>
                <w:color w:val="ff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18"/>
                <w:szCs w:val="18"/>
                <w:u w:val="none"/>
                <w:shd w:fill="auto" w:val="clear"/>
                <w:vertAlign w:val="baseline"/>
                <w:rtl w:val="0"/>
              </w:rPr>
              <w:t xml:space="preserve">0,0185</w:t>
            </w:r>
          </w:p>
        </w:tc>
        <w:tc>
          <w:tcPr>
            <w:tcBorders>
              <w:bottom w:color="000000" w:space="0" w:sz="4" w:val="single"/>
            </w:tcBorders>
          </w:tcPr>
          <w:p w:rsidR="00000000" w:rsidDel="00000000" w:rsidP="00000000" w:rsidRDefault="00000000" w:rsidRPr="00000000" w14:paraId="000007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0,069</w:t>
            </w:r>
          </w:p>
        </w:tc>
        <w:tc>
          <w:tcPr>
            <w:tcBorders>
              <w:bottom w:color="000000" w:space="0" w:sz="4" w:val="single"/>
            </w:tcBorders>
          </w:tcPr>
          <w:p w:rsidR="00000000" w:rsidDel="00000000" w:rsidP="00000000" w:rsidRDefault="00000000" w:rsidRPr="00000000" w14:paraId="000007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0,1179</w:t>
            </w:r>
          </w:p>
        </w:tc>
        <w:tc>
          <w:tcPr>
            <w:tcBorders>
              <w:bottom w:color="000000" w:space="0" w:sz="4" w:val="single"/>
            </w:tcBorders>
          </w:tcPr>
          <w:p w:rsidR="00000000" w:rsidDel="00000000" w:rsidP="00000000" w:rsidRDefault="00000000" w:rsidRPr="00000000" w14:paraId="000007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i w:val="0"/>
                <w:smallCaps w:val="0"/>
                <w:strike w:val="0"/>
                <w:color w:val="ff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18"/>
                <w:szCs w:val="18"/>
                <w:u w:val="none"/>
                <w:shd w:fill="auto" w:val="clear"/>
                <w:vertAlign w:val="baseline"/>
                <w:rtl w:val="0"/>
              </w:rPr>
              <w:t xml:space="preserve">-0,109</w:t>
            </w:r>
          </w:p>
        </w:tc>
        <w:tc>
          <w:tcPr>
            <w:tcBorders>
              <w:bottom w:color="000000" w:space="0" w:sz="4" w:val="single"/>
            </w:tcBorders>
          </w:tcPr>
          <w:p w:rsidR="00000000" w:rsidDel="00000000" w:rsidP="00000000" w:rsidRDefault="00000000" w:rsidRPr="00000000" w14:paraId="000007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i w:val="0"/>
                <w:smallCaps w:val="0"/>
                <w:strike w:val="0"/>
                <w:color w:val="ff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18"/>
                <w:szCs w:val="18"/>
                <w:u w:val="none"/>
                <w:shd w:fill="auto" w:val="clear"/>
                <w:vertAlign w:val="baseline"/>
                <w:rtl w:val="0"/>
              </w:rPr>
              <w:t xml:space="preserve">0,0301</w:t>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7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Todos os anos</w:t>
            </w:r>
          </w:p>
        </w:tc>
        <w:tc>
          <w:tcPr>
            <w:tcBorders>
              <w:top w:color="000000" w:space="0" w:sz="4" w:val="single"/>
              <w:bottom w:color="000000" w:space="0" w:sz="4" w:val="single"/>
            </w:tcBorders>
          </w:tcPr>
          <w:p w:rsidR="00000000" w:rsidDel="00000000" w:rsidP="00000000" w:rsidRDefault="00000000" w:rsidRPr="00000000" w14:paraId="000007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i w:val="0"/>
                <w:smallCaps w:val="0"/>
                <w:strike w:val="0"/>
                <w:color w:val="ff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18"/>
                <w:szCs w:val="18"/>
                <w:u w:val="none"/>
                <w:shd w:fill="auto" w:val="clear"/>
                <w:vertAlign w:val="baseline"/>
                <w:rtl w:val="0"/>
              </w:rPr>
              <w:t xml:space="preserve">-0,191</w:t>
            </w:r>
          </w:p>
        </w:tc>
        <w:tc>
          <w:tcPr>
            <w:tcBorders>
              <w:top w:color="000000" w:space="0" w:sz="4" w:val="single"/>
              <w:bottom w:color="000000" w:space="0" w:sz="4" w:val="single"/>
            </w:tcBorders>
          </w:tcPr>
          <w:p w:rsidR="00000000" w:rsidDel="00000000" w:rsidP="00000000" w:rsidRDefault="00000000" w:rsidRPr="00000000" w14:paraId="000007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i w:val="0"/>
                <w:smallCaps w:val="0"/>
                <w:strike w:val="0"/>
                <w:color w:val="ff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18"/>
                <w:szCs w:val="18"/>
                <w:u w:val="none"/>
                <w:shd w:fill="auto" w:val="clear"/>
                <w:vertAlign w:val="baseline"/>
                <w:rtl w:val="0"/>
              </w:rPr>
              <w:t xml:space="preserve">0,0020</w:t>
            </w:r>
          </w:p>
        </w:tc>
        <w:tc>
          <w:tcPr>
            <w:tcBorders>
              <w:top w:color="000000" w:space="0" w:sz="4" w:val="single"/>
              <w:bottom w:color="000000" w:space="0" w:sz="4" w:val="single"/>
            </w:tcBorders>
          </w:tcPr>
          <w:p w:rsidR="00000000" w:rsidDel="00000000" w:rsidP="00000000" w:rsidRDefault="00000000" w:rsidRPr="00000000" w14:paraId="000007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0,087</w:t>
            </w:r>
          </w:p>
        </w:tc>
        <w:tc>
          <w:tcPr>
            <w:tcBorders>
              <w:top w:color="000000" w:space="0" w:sz="4" w:val="single"/>
              <w:bottom w:color="000000" w:space="0" w:sz="4" w:val="single"/>
            </w:tcBorders>
          </w:tcPr>
          <w:p w:rsidR="00000000" w:rsidDel="00000000" w:rsidP="00000000" w:rsidRDefault="00000000" w:rsidRPr="00000000" w14:paraId="000007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0,0720</w:t>
            </w:r>
          </w:p>
        </w:tc>
        <w:tc>
          <w:tcPr>
            <w:tcBorders>
              <w:top w:color="000000" w:space="0" w:sz="4" w:val="single"/>
              <w:bottom w:color="000000" w:space="0" w:sz="4" w:val="single"/>
            </w:tcBorders>
          </w:tcPr>
          <w:p w:rsidR="00000000" w:rsidDel="00000000" w:rsidP="00000000" w:rsidRDefault="00000000" w:rsidRPr="00000000" w14:paraId="000007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i w:val="0"/>
                <w:smallCaps w:val="0"/>
                <w:strike w:val="0"/>
                <w:color w:val="ff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18"/>
                <w:szCs w:val="18"/>
                <w:u w:val="none"/>
                <w:shd w:fill="auto" w:val="clear"/>
                <w:vertAlign w:val="baseline"/>
                <w:rtl w:val="0"/>
              </w:rPr>
              <w:t xml:space="preserve">-0,317</w:t>
            </w:r>
          </w:p>
        </w:tc>
        <w:tc>
          <w:tcPr>
            <w:tcBorders>
              <w:top w:color="000000" w:space="0" w:sz="4" w:val="single"/>
              <w:bottom w:color="000000" w:space="0" w:sz="4" w:val="single"/>
            </w:tcBorders>
          </w:tcPr>
          <w:p w:rsidR="00000000" w:rsidDel="00000000" w:rsidP="00000000" w:rsidRDefault="00000000" w:rsidRPr="00000000" w14:paraId="000007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i w:val="0"/>
                <w:smallCaps w:val="0"/>
                <w:strike w:val="0"/>
                <w:color w:val="ff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18"/>
                <w:szCs w:val="18"/>
                <w:u w:val="none"/>
                <w:shd w:fill="auto" w:val="clear"/>
                <w:vertAlign w:val="baseline"/>
                <w:rtl w:val="0"/>
              </w:rPr>
              <w:t xml:space="preserve">0,0001</w:t>
            </w:r>
          </w:p>
        </w:tc>
      </w:tr>
    </w:tbl>
    <w:p w:rsidR="00000000" w:rsidDel="00000000" w:rsidP="00000000" w:rsidRDefault="00000000" w:rsidRPr="00000000" w14:paraId="0000075D">
      <w:pPr>
        <w:rPr/>
      </w:pPr>
      <w:r w:rsidDel="00000000" w:rsidR="00000000" w:rsidRPr="00000000">
        <w:rPr>
          <w:rtl w:val="0"/>
        </w:rPr>
      </w:r>
    </w:p>
    <w:p w:rsidR="00000000" w:rsidDel="00000000" w:rsidP="00000000" w:rsidRDefault="00000000" w:rsidRPr="00000000" w14:paraId="000007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60" w:before="120" w:line="240" w:lineRule="auto"/>
        <w:ind w:left="1134" w:right="0" w:hanging="1134"/>
        <w:jc w:val="both"/>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heading=h.34g0dwd" w:id="69"/>
      <w:bookmarkEnd w:id="69"/>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Tabela 9. </w:t>
        <w:tab/>
        <w:t xml:space="preserve">Frequência absoluta (Fi), frequência relativa (fi) e intervalo de confiança (IC95%) dos agravos a seres humanos segundo o tipo espécie agressora em Feira de Santana, BA, 2008-2019</w:t>
      </w:r>
    </w:p>
    <w:tbl>
      <w:tblPr>
        <w:tblStyle w:val="Table11"/>
        <w:tblW w:w="8670.0" w:type="dxa"/>
        <w:jc w:val="center"/>
        <w:tblLayout w:type="fixed"/>
        <w:tblLook w:val="0400"/>
      </w:tblPr>
      <w:tblGrid>
        <w:gridCol w:w="771"/>
        <w:gridCol w:w="1225"/>
        <w:gridCol w:w="936"/>
        <w:gridCol w:w="654"/>
        <w:gridCol w:w="755"/>
        <w:gridCol w:w="641"/>
        <w:gridCol w:w="639"/>
        <w:gridCol w:w="648"/>
        <w:gridCol w:w="893"/>
        <w:gridCol w:w="851"/>
        <w:gridCol w:w="657"/>
        <w:tblGridChange w:id="0">
          <w:tblGrid>
            <w:gridCol w:w="771"/>
            <w:gridCol w:w="1225"/>
            <w:gridCol w:w="936"/>
            <w:gridCol w:w="654"/>
            <w:gridCol w:w="755"/>
            <w:gridCol w:w="641"/>
            <w:gridCol w:w="639"/>
            <w:gridCol w:w="648"/>
            <w:gridCol w:w="893"/>
            <w:gridCol w:w="851"/>
            <w:gridCol w:w="657"/>
          </w:tblGrid>
        </w:tblGridChange>
      </w:tblGrid>
      <w:tr>
        <w:trPr>
          <w:cantSplit w:val="0"/>
          <w:trHeight w:val="281" w:hRule="atLeast"/>
          <w:tblHeader w:val="0"/>
        </w:trPr>
        <w:tc>
          <w:tcPr>
            <w:tcBorders>
              <w:top w:color="000000" w:space="0" w:sz="4" w:val="single"/>
              <w:left w:color="000000" w:space="0" w:sz="0" w:val="nil"/>
              <w:bottom w:color="000000" w:space="0" w:sz="8" w:val="single"/>
              <w:right w:color="000000" w:space="0" w:sz="0" w:val="nil"/>
            </w:tcBorders>
            <w:shd w:fill="ffffff" w:val="clear"/>
            <w:vAlign w:val="center"/>
          </w:tcPr>
          <w:p w:rsidR="00000000" w:rsidDel="00000000" w:rsidP="00000000" w:rsidRDefault="00000000" w:rsidRPr="00000000" w14:paraId="0000075F">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Ano</w:t>
            </w:r>
          </w:p>
        </w:tc>
        <w:tc>
          <w:tcPr>
            <w:gridSpan w:val="2"/>
            <w:tcBorders>
              <w:top w:color="000000" w:space="0" w:sz="4" w:val="single"/>
              <w:left w:color="000000" w:space="0" w:sz="0" w:val="nil"/>
              <w:bottom w:color="000000" w:space="0" w:sz="8" w:val="single"/>
              <w:right w:color="000000" w:space="0" w:sz="0" w:val="nil"/>
            </w:tcBorders>
            <w:shd w:fill="ffffff" w:val="clear"/>
            <w:vAlign w:val="center"/>
          </w:tcPr>
          <w:p w:rsidR="00000000" w:rsidDel="00000000" w:rsidP="00000000" w:rsidRDefault="00000000" w:rsidRPr="00000000" w14:paraId="00000760">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Carnívoro</w:t>
            </w:r>
          </w:p>
        </w:tc>
        <w:tc>
          <w:tcPr>
            <w:gridSpan w:val="2"/>
            <w:tcBorders>
              <w:top w:color="000000" w:space="0" w:sz="4" w:val="single"/>
              <w:left w:color="000000" w:space="0" w:sz="0" w:val="nil"/>
              <w:bottom w:color="000000" w:space="0" w:sz="8" w:val="single"/>
              <w:right w:color="000000" w:space="0" w:sz="0" w:val="nil"/>
            </w:tcBorders>
            <w:shd w:fill="ffffff" w:val="clear"/>
            <w:vAlign w:val="center"/>
          </w:tcPr>
          <w:p w:rsidR="00000000" w:rsidDel="00000000" w:rsidP="00000000" w:rsidRDefault="00000000" w:rsidRPr="00000000" w14:paraId="00000762">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Herbívoro</w:t>
            </w:r>
          </w:p>
        </w:tc>
        <w:tc>
          <w:tcPr>
            <w:gridSpan w:val="2"/>
            <w:tcBorders>
              <w:top w:color="000000" w:space="0" w:sz="4" w:val="single"/>
              <w:left w:color="000000" w:space="0" w:sz="0" w:val="nil"/>
              <w:bottom w:color="000000" w:space="0" w:sz="8" w:val="single"/>
              <w:right w:color="000000" w:space="0" w:sz="0" w:val="nil"/>
            </w:tcBorders>
            <w:shd w:fill="ffffff" w:val="clear"/>
            <w:vAlign w:val="center"/>
          </w:tcPr>
          <w:p w:rsidR="00000000" w:rsidDel="00000000" w:rsidP="00000000" w:rsidRDefault="00000000" w:rsidRPr="00000000" w14:paraId="00000764">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Silvestre</w:t>
            </w:r>
          </w:p>
        </w:tc>
        <w:tc>
          <w:tcPr>
            <w:gridSpan w:val="2"/>
            <w:tcBorders>
              <w:top w:color="000000" w:space="0" w:sz="4" w:val="single"/>
              <w:left w:color="000000" w:space="0" w:sz="0" w:val="nil"/>
              <w:bottom w:color="000000" w:space="0" w:sz="8" w:val="single"/>
              <w:right w:color="000000" w:space="0" w:sz="0" w:val="nil"/>
            </w:tcBorders>
            <w:shd w:fill="ffffff" w:val="clear"/>
            <w:vAlign w:val="center"/>
          </w:tcPr>
          <w:p w:rsidR="00000000" w:rsidDel="00000000" w:rsidP="00000000" w:rsidRDefault="00000000" w:rsidRPr="00000000" w14:paraId="00000766">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Sinantrópico</w:t>
            </w:r>
          </w:p>
        </w:tc>
        <w:tc>
          <w:tcPr>
            <w:gridSpan w:val="2"/>
            <w:tcBorders>
              <w:top w:color="000000" w:space="0" w:sz="4" w:val="single"/>
              <w:left w:color="000000" w:space="0" w:sz="0" w:val="nil"/>
              <w:bottom w:color="000000" w:space="0" w:sz="8" w:val="single"/>
              <w:right w:color="000000" w:space="0" w:sz="0" w:val="nil"/>
            </w:tcBorders>
            <w:shd w:fill="ffffff" w:val="clear"/>
            <w:vAlign w:val="center"/>
          </w:tcPr>
          <w:p w:rsidR="00000000" w:rsidDel="00000000" w:rsidP="00000000" w:rsidRDefault="00000000" w:rsidRPr="00000000" w14:paraId="00000768">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Total</w:t>
            </w:r>
          </w:p>
        </w:tc>
      </w:tr>
      <w:tr>
        <w:trPr>
          <w:cantSplit w:val="0"/>
          <w:trHeight w:val="268" w:hRule="atLeast"/>
          <w:tblHeader w:val="0"/>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76A">
            <w:pPr>
              <w:spacing w:after="0" w:line="240" w:lineRule="auto"/>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 </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76B">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N</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76C">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76D">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N</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76E">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76F">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N</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770">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771">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N</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772">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773">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N</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774">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w:t>
            </w:r>
          </w:p>
        </w:tc>
      </w:tr>
      <w:tr>
        <w:trPr>
          <w:cantSplit w:val="0"/>
          <w:trHeight w:val="268"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775">
            <w:pPr>
              <w:spacing w:after="0" w:line="240" w:lineRule="auto"/>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2008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776">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1774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777">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97,05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778">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779">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0,93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77A">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37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77B">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2,02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77C">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77D">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0,00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77E">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1828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77F">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7,16</w:t>
            </w:r>
          </w:p>
        </w:tc>
      </w:tr>
      <w:tr>
        <w:trPr>
          <w:cantSplit w:val="0"/>
          <w:trHeight w:val="268"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780">
            <w:pPr>
              <w:spacing w:after="0" w:line="240" w:lineRule="auto"/>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2009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781">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2109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782">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97,46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783">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784">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0,14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785">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52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786">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2,40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787">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788">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0,00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789">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2164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78A">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8,47</w:t>
            </w:r>
          </w:p>
        </w:tc>
      </w:tr>
      <w:tr>
        <w:trPr>
          <w:cantSplit w:val="0"/>
          <w:trHeight w:val="268"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78B">
            <w:pPr>
              <w:spacing w:after="0" w:line="240" w:lineRule="auto"/>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2010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78C">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2053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78D">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97,95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78E">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78F">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0,29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790">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35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791">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1,67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792">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793">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0,10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794">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2096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795">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8,20</w:t>
            </w:r>
          </w:p>
        </w:tc>
      </w:tr>
      <w:tr>
        <w:trPr>
          <w:cantSplit w:val="0"/>
          <w:trHeight w:val="268"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796">
            <w:pPr>
              <w:spacing w:after="0" w:line="240" w:lineRule="auto"/>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2011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797">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2047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798">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97,94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799">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79A">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0,33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79B">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34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79C">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1,63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79D">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79E">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0,10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79F">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2090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7A0">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8,18</w:t>
            </w:r>
          </w:p>
        </w:tc>
      </w:tr>
      <w:tr>
        <w:trPr>
          <w:cantSplit w:val="0"/>
          <w:trHeight w:val="268"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7A1">
            <w:pPr>
              <w:spacing w:after="0" w:line="240" w:lineRule="auto"/>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2012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7A2">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1837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7A3">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98,39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7A4">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7A5">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0,21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7A6">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7A7">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1,39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7A8">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7A9">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0,00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7AA">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1867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7AB">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7,31</w:t>
            </w:r>
          </w:p>
        </w:tc>
      </w:tr>
      <w:tr>
        <w:trPr>
          <w:cantSplit w:val="0"/>
          <w:trHeight w:val="268"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7AC">
            <w:pPr>
              <w:spacing w:after="0" w:line="240" w:lineRule="auto"/>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2013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7AD">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2038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7AE">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98,60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7AF">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7B0">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0,24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7B1">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7B2">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1,06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7B3">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7B4">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0,10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7B5">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2067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7B6">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8,09</w:t>
            </w:r>
          </w:p>
        </w:tc>
      </w:tr>
      <w:tr>
        <w:trPr>
          <w:cantSplit w:val="0"/>
          <w:trHeight w:val="268"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7B7">
            <w:pPr>
              <w:spacing w:after="0" w:line="240" w:lineRule="auto"/>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2014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7B8">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2155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7B9">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98,00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7BA">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7BB">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0,32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7BC">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35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7BD">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1,59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7BE">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7BF">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0,09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7C0">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2199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7C1">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8,61</w:t>
            </w:r>
          </w:p>
        </w:tc>
      </w:tr>
      <w:tr>
        <w:trPr>
          <w:cantSplit w:val="0"/>
          <w:trHeight w:val="268"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7C2">
            <w:pPr>
              <w:spacing w:after="0" w:line="240" w:lineRule="auto"/>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2015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7C3">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2215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7C4">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98,44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7C5">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7C6">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0,44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7C7">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7C8">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1,02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7C9">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7CA">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0,09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7CB">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2250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7CC">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8,81</w:t>
            </w:r>
          </w:p>
        </w:tc>
      </w:tr>
      <w:tr>
        <w:trPr>
          <w:cantSplit w:val="0"/>
          <w:trHeight w:val="268"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7CD">
            <w:pPr>
              <w:spacing w:after="0" w:line="240" w:lineRule="auto"/>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2016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7CE">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2156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7CF">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97,96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7D0">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7D1">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0,50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7D2">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31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7D3">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1,41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7D4">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7D5">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0,14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7D6">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2201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7D7">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8,62</w:t>
            </w:r>
          </w:p>
        </w:tc>
      </w:tr>
      <w:tr>
        <w:trPr>
          <w:cantSplit w:val="0"/>
          <w:trHeight w:val="268"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7D8">
            <w:pPr>
              <w:spacing w:after="0" w:line="240" w:lineRule="auto"/>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2017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7D9">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2234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7DA">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96,79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7DB">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7DC">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0,74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7DD">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54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7DE">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2,34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7DF">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7E0">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0,13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7E1">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2308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7E2">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9,03</w:t>
            </w:r>
          </w:p>
        </w:tc>
      </w:tr>
      <w:tr>
        <w:trPr>
          <w:cantSplit w:val="0"/>
          <w:trHeight w:val="268"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7E3">
            <w:pPr>
              <w:spacing w:after="0" w:line="240" w:lineRule="auto"/>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2018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7E4">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2316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7E5">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96,74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7E6">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7E7">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0,58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7E8">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61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7E9">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2,55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7EA">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7EB">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0,13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7EC">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2394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7ED">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9,37</w:t>
            </w:r>
          </w:p>
        </w:tc>
      </w:tr>
      <w:tr>
        <w:trPr>
          <w:cantSplit w:val="0"/>
          <w:trHeight w:val="268"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7EE">
            <w:pPr>
              <w:spacing w:after="0" w:line="240" w:lineRule="auto"/>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2019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7EF">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2016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7F0">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96,74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7F1">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7F2">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0,96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7F3">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45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7F4">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2,16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7F5">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7F6">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0,14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7F7">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2084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7F8">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8,16</w:t>
            </w:r>
          </w:p>
        </w:tc>
      </w:tr>
      <w:tr>
        <w:trPr>
          <w:cantSplit w:val="0"/>
          <w:trHeight w:val="281" w:hRule="atLeast"/>
          <w:tblHeader w:val="0"/>
        </w:trPr>
        <w:tc>
          <w:tcPr>
            <w:tcBorders>
              <w:top w:color="000000" w:space="0" w:sz="4" w:val="single"/>
              <w:left w:color="000000" w:space="0" w:sz="0" w:val="nil"/>
              <w:bottom w:color="000000" w:space="0" w:sz="4" w:val="single"/>
              <w:right w:color="000000" w:space="0" w:sz="0" w:val="nil"/>
            </w:tcBorders>
            <w:shd w:fill="ffffff" w:val="clear"/>
            <w:vAlign w:val="center"/>
          </w:tcPr>
          <w:p w:rsidR="00000000" w:rsidDel="00000000" w:rsidP="00000000" w:rsidRDefault="00000000" w:rsidRPr="00000000" w14:paraId="000007F9">
            <w:pPr>
              <w:spacing w:after="0" w:line="240" w:lineRule="auto"/>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Total</w:t>
            </w:r>
          </w:p>
        </w:tc>
        <w:tc>
          <w:tcPr>
            <w:tcBorders>
              <w:top w:color="000000" w:space="0" w:sz="4" w:val="single"/>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7FA">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24950</w:t>
            </w:r>
          </w:p>
        </w:tc>
        <w:tc>
          <w:tcPr>
            <w:tcBorders>
              <w:top w:color="000000" w:space="0" w:sz="4" w:val="single"/>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7FB">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97,66</w:t>
            </w:r>
          </w:p>
        </w:tc>
        <w:tc>
          <w:tcPr>
            <w:tcBorders>
              <w:top w:color="000000" w:space="0" w:sz="4" w:val="single"/>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7FC">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121</w:t>
            </w:r>
          </w:p>
        </w:tc>
        <w:tc>
          <w:tcPr>
            <w:tcBorders>
              <w:top w:color="000000" w:space="0" w:sz="4" w:val="single"/>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7FD">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0,47</w:t>
            </w:r>
          </w:p>
        </w:tc>
        <w:tc>
          <w:tcPr>
            <w:tcBorders>
              <w:top w:color="000000" w:space="0" w:sz="4" w:val="single"/>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7FE">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455</w:t>
            </w:r>
          </w:p>
        </w:tc>
        <w:tc>
          <w:tcPr>
            <w:tcBorders>
              <w:top w:color="000000" w:space="0" w:sz="4" w:val="single"/>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7FF">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1,78</w:t>
            </w:r>
          </w:p>
        </w:tc>
        <w:tc>
          <w:tcPr>
            <w:tcBorders>
              <w:top w:color="000000" w:space="0" w:sz="4" w:val="single"/>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800">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22</w:t>
            </w:r>
          </w:p>
        </w:tc>
        <w:tc>
          <w:tcPr>
            <w:tcBorders>
              <w:top w:color="000000" w:space="0" w:sz="4" w:val="single"/>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801">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0,09</w:t>
            </w:r>
          </w:p>
        </w:tc>
        <w:tc>
          <w:tcPr>
            <w:tcBorders>
              <w:top w:color="000000" w:space="0" w:sz="4" w:val="single"/>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802">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25548</w:t>
            </w:r>
          </w:p>
        </w:tc>
        <w:tc>
          <w:tcPr>
            <w:tcBorders>
              <w:top w:color="000000" w:space="0" w:sz="4" w:val="single"/>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803">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100,00</w:t>
            </w:r>
          </w:p>
        </w:tc>
      </w:tr>
    </w:tbl>
    <w:p w:rsidR="00000000" w:rsidDel="00000000" w:rsidP="00000000" w:rsidRDefault="00000000" w:rsidRPr="00000000" w14:paraId="00000804">
      <w:pPr>
        <w:rPr>
          <w:rFonts w:ascii="Times New Roman" w:cs="Times New Roman" w:eastAsia="Times New Roman" w:hAnsi="Times New Roman"/>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8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60" w:before="120" w:line="240" w:lineRule="auto"/>
        <w:ind w:left="1134" w:right="0" w:hanging="1134"/>
        <w:jc w:val="both"/>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heading=h.1jlao46" w:id="70"/>
      <w:bookmarkEnd w:id="70"/>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Tabela 10.</w:t>
        <w:tab/>
        <w:t xml:space="preserve">Frequência absoluta (Fi), frequência relativa (fi)  dos agravos a seres humanos  segundo o tipo espécie agressora em Feira de Santana, BA, 2008-2019</w:t>
      </w:r>
    </w:p>
    <w:tbl>
      <w:tblPr>
        <w:tblStyle w:val="Table12"/>
        <w:tblW w:w="8812.0" w:type="dxa"/>
        <w:jc w:val="left"/>
        <w:tblInd w:w="-142.0" w:type="dxa"/>
        <w:tblLayout w:type="fixed"/>
        <w:tblLook w:val="0400"/>
      </w:tblPr>
      <w:tblGrid>
        <w:gridCol w:w="1763"/>
        <w:gridCol w:w="542"/>
        <w:gridCol w:w="949"/>
        <w:gridCol w:w="677"/>
        <w:gridCol w:w="679"/>
        <w:gridCol w:w="677"/>
        <w:gridCol w:w="678"/>
        <w:gridCol w:w="406"/>
        <w:gridCol w:w="950"/>
        <w:gridCol w:w="677"/>
        <w:gridCol w:w="814"/>
        <w:tblGridChange w:id="0">
          <w:tblGrid>
            <w:gridCol w:w="1763"/>
            <w:gridCol w:w="542"/>
            <w:gridCol w:w="949"/>
            <w:gridCol w:w="677"/>
            <w:gridCol w:w="679"/>
            <w:gridCol w:w="677"/>
            <w:gridCol w:w="678"/>
            <w:gridCol w:w="406"/>
            <w:gridCol w:w="950"/>
            <w:gridCol w:w="677"/>
            <w:gridCol w:w="814"/>
          </w:tblGrid>
        </w:tblGridChange>
      </w:tblGrid>
      <w:tr>
        <w:trPr>
          <w:cantSplit w:val="0"/>
          <w:trHeight w:val="291" w:hRule="atLeast"/>
          <w:tblHeader w:val="0"/>
        </w:trPr>
        <w:tc>
          <w:tcPr>
            <w:vMerge w:val="restart"/>
            <w:tcBorders>
              <w:top w:color="000000" w:space="0" w:sz="4" w:val="single"/>
              <w:left w:color="000000" w:space="0" w:sz="0" w:val="nil"/>
              <w:bottom w:color="000000" w:space="0" w:sz="4" w:val="single"/>
              <w:right w:color="000000" w:space="0" w:sz="0" w:val="nil"/>
            </w:tcBorders>
            <w:shd w:fill="ffffff" w:val="clear"/>
            <w:vAlign w:val="center"/>
          </w:tcPr>
          <w:p w:rsidR="00000000" w:rsidDel="00000000" w:rsidP="00000000" w:rsidRDefault="00000000" w:rsidRPr="00000000" w14:paraId="00000806">
            <w:pPr>
              <w:spacing w:after="0" w:line="240" w:lineRule="auto"/>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NOME DOS BAIRROS</w:t>
            </w:r>
          </w:p>
        </w:tc>
        <w:tc>
          <w:tcPr>
            <w:gridSpan w:val="2"/>
            <w:tcBorders>
              <w:top w:color="000000" w:space="0" w:sz="4" w:val="single"/>
              <w:left w:color="000000" w:space="0" w:sz="0" w:val="nil"/>
              <w:bottom w:color="000000" w:space="0" w:sz="4" w:val="single"/>
              <w:right w:color="000000" w:space="0" w:sz="0" w:val="nil"/>
            </w:tcBorders>
            <w:shd w:fill="ffffff" w:val="clear"/>
            <w:vAlign w:val="center"/>
          </w:tcPr>
          <w:p w:rsidR="00000000" w:rsidDel="00000000" w:rsidP="00000000" w:rsidRDefault="00000000" w:rsidRPr="00000000" w14:paraId="00000807">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CARNIVORO</w:t>
            </w:r>
          </w:p>
        </w:tc>
        <w:tc>
          <w:tcPr>
            <w:gridSpan w:val="2"/>
            <w:tcBorders>
              <w:top w:color="000000" w:space="0" w:sz="4" w:val="single"/>
              <w:left w:color="000000" w:space="0" w:sz="0" w:val="nil"/>
              <w:bottom w:color="000000" w:space="0" w:sz="4" w:val="single"/>
              <w:right w:color="000000" w:space="0" w:sz="0" w:val="nil"/>
            </w:tcBorders>
            <w:shd w:fill="ffffff" w:val="clear"/>
            <w:vAlign w:val="center"/>
          </w:tcPr>
          <w:p w:rsidR="00000000" w:rsidDel="00000000" w:rsidP="00000000" w:rsidRDefault="00000000" w:rsidRPr="00000000" w14:paraId="00000809">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HERBIVORO</w:t>
            </w:r>
          </w:p>
        </w:tc>
        <w:tc>
          <w:tcPr>
            <w:gridSpan w:val="2"/>
            <w:tcBorders>
              <w:top w:color="000000" w:space="0" w:sz="4" w:val="single"/>
              <w:left w:color="000000" w:space="0" w:sz="0" w:val="nil"/>
              <w:bottom w:color="000000" w:space="0" w:sz="4" w:val="single"/>
              <w:right w:color="000000" w:space="0" w:sz="0" w:val="nil"/>
            </w:tcBorders>
            <w:shd w:fill="ffffff" w:val="clear"/>
            <w:vAlign w:val="center"/>
          </w:tcPr>
          <w:p w:rsidR="00000000" w:rsidDel="00000000" w:rsidP="00000000" w:rsidRDefault="00000000" w:rsidRPr="00000000" w14:paraId="0000080B">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SILVESTRE</w:t>
            </w:r>
          </w:p>
        </w:tc>
        <w:tc>
          <w:tcPr>
            <w:gridSpan w:val="2"/>
            <w:tcBorders>
              <w:top w:color="000000" w:space="0" w:sz="4" w:val="single"/>
              <w:left w:color="000000" w:space="0" w:sz="0" w:val="nil"/>
              <w:bottom w:color="000000" w:space="0" w:sz="4" w:val="single"/>
              <w:right w:color="000000" w:space="0" w:sz="0" w:val="nil"/>
            </w:tcBorders>
            <w:shd w:fill="ffffff" w:val="clear"/>
            <w:vAlign w:val="center"/>
          </w:tcPr>
          <w:p w:rsidR="00000000" w:rsidDel="00000000" w:rsidP="00000000" w:rsidRDefault="00000000" w:rsidRPr="00000000" w14:paraId="0000080D">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SINANTROPICO</w:t>
            </w:r>
          </w:p>
        </w:tc>
        <w:tc>
          <w:tcPr>
            <w:gridSpan w:val="2"/>
            <w:tcBorders>
              <w:top w:color="000000" w:space="0" w:sz="4" w:val="single"/>
              <w:left w:color="000000" w:space="0" w:sz="0" w:val="nil"/>
              <w:bottom w:color="000000" w:space="0" w:sz="4" w:val="single"/>
              <w:right w:color="000000" w:space="0" w:sz="0" w:val="nil"/>
            </w:tcBorders>
            <w:shd w:fill="ffffff" w:val="clear"/>
            <w:vAlign w:val="center"/>
          </w:tcPr>
          <w:p w:rsidR="00000000" w:rsidDel="00000000" w:rsidP="00000000" w:rsidRDefault="00000000" w:rsidRPr="00000000" w14:paraId="0000080F">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TOTAL</w:t>
            </w:r>
          </w:p>
        </w:tc>
      </w:tr>
      <w:tr>
        <w:trPr>
          <w:cantSplit w:val="0"/>
          <w:trHeight w:val="291" w:hRule="atLeast"/>
          <w:tblHeader w:val="0"/>
        </w:trPr>
        <w:tc>
          <w:tcPr>
            <w:vMerge w:val="continue"/>
            <w:tcBorders>
              <w:top w:color="000000" w:space="0" w:sz="4" w:val="single"/>
              <w:left w:color="000000" w:space="0" w:sz="0" w:val="nil"/>
              <w:bottom w:color="000000" w:space="0" w:sz="4" w:val="single"/>
              <w:right w:color="000000" w:space="0" w:sz="0" w:val="nil"/>
            </w:tcBorders>
            <w:shd w:fill="ffffff" w:val="clear"/>
            <w:vAlign w:val="center"/>
          </w:tcPr>
          <w:p w:rsidR="00000000" w:rsidDel="00000000" w:rsidP="00000000" w:rsidRDefault="00000000" w:rsidRPr="00000000" w14:paraId="000008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16"/>
                <w:szCs w:val="16"/>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812">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Fi</w:t>
            </w:r>
          </w:p>
        </w:tc>
        <w:tc>
          <w:tcPr>
            <w:tcBorders>
              <w:top w:color="000000" w:space="0" w:sz="4" w:val="single"/>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813">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fi</w:t>
            </w:r>
          </w:p>
        </w:tc>
        <w:tc>
          <w:tcPr>
            <w:tcBorders>
              <w:top w:color="000000" w:space="0" w:sz="4" w:val="single"/>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814">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Fi</w:t>
            </w:r>
          </w:p>
        </w:tc>
        <w:tc>
          <w:tcPr>
            <w:tcBorders>
              <w:top w:color="000000" w:space="0" w:sz="4" w:val="single"/>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815">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fi</w:t>
            </w:r>
          </w:p>
        </w:tc>
        <w:tc>
          <w:tcPr>
            <w:tcBorders>
              <w:top w:color="000000" w:space="0" w:sz="4" w:val="single"/>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816">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Fi</w:t>
            </w:r>
          </w:p>
        </w:tc>
        <w:tc>
          <w:tcPr>
            <w:tcBorders>
              <w:top w:color="000000" w:space="0" w:sz="4" w:val="single"/>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817">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fi</w:t>
            </w:r>
          </w:p>
        </w:tc>
        <w:tc>
          <w:tcPr>
            <w:tcBorders>
              <w:top w:color="000000" w:space="0" w:sz="4" w:val="single"/>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818">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Fi</w:t>
            </w:r>
          </w:p>
        </w:tc>
        <w:tc>
          <w:tcPr>
            <w:tcBorders>
              <w:top w:color="000000" w:space="0" w:sz="4" w:val="single"/>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819">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fi</w:t>
            </w:r>
          </w:p>
        </w:tc>
        <w:tc>
          <w:tcPr>
            <w:tcBorders>
              <w:top w:color="000000" w:space="0" w:sz="4" w:val="single"/>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81A">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Fi</w:t>
            </w:r>
          </w:p>
        </w:tc>
        <w:tc>
          <w:tcPr>
            <w:tcBorders>
              <w:top w:color="000000" w:space="0" w:sz="4" w:val="single"/>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81B">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fi</w:t>
            </w:r>
          </w:p>
        </w:tc>
      </w:tr>
      <w:tr>
        <w:trPr>
          <w:cantSplit w:val="0"/>
          <w:trHeight w:val="291" w:hRule="atLeast"/>
          <w:tblHeader w:val="0"/>
        </w:trPr>
        <w:tc>
          <w:tcPr>
            <w:tcBorders>
              <w:top w:color="000000" w:space="0" w:sz="4" w:val="single"/>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1C">
            <w:pPr>
              <w:spacing w:after="0" w:line="240" w:lineRule="auto"/>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35BI</w:t>
            </w:r>
          </w:p>
        </w:tc>
        <w:tc>
          <w:tcPr>
            <w:tcBorders>
              <w:top w:color="000000" w:space="0" w:sz="4" w:val="single"/>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1D">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189</w:t>
            </w:r>
          </w:p>
        </w:tc>
        <w:tc>
          <w:tcPr>
            <w:tcBorders>
              <w:top w:color="000000" w:space="0" w:sz="4" w:val="single"/>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1E">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95,45</w:t>
            </w:r>
          </w:p>
        </w:tc>
        <w:tc>
          <w:tcPr>
            <w:tcBorders>
              <w:top w:color="000000" w:space="0" w:sz="4" w:val="single"/>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1F">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w:t>
            </w:r>
          </w:p>
        </w:tc>
        <w:tc>
          <w:tcPr>
            <w:tcBorders>
              <w:top w:color="000000" w:space="0" w:sz="4" w:val="single"/>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20">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0,51</w:t>
            </w:r>
          </w:p>
        </w:tc>
        <w:tc>
          <w:tcPr>
            <w:tcBorders>
              <w:top w:color="000000" w:space="0" w:sz="4" w:val="single"/>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21">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8</w:t>
            </w:r>
          </w:p>
        </w:tc>
        <w:tc>
          <w:tcPr>
            <w:tcBorders>
              <w:top w:color="000000" w:space="0" w:sz="4" w:val="single"/>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22">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4,04</w:t>
            </w:r>
          </w:p>
        </w:tc>
        <w:tc>
          <w:tcPr>
            <w:tcBorders>
              <w:top w:color="000000" w:space="0" w:sz="4" w:val="single"/>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23">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w:t>
            </w:r>
          </w:p>
        </w:tc>
        <w:tc>
          <w:tcPr>
            <w:tcBorders>
              <w:top w:color="000000" w:space="0" w:sz="4" w:val="single"/>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24">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0,00</w:t>
            </w:r>
          </w:p>
        </w:tc>
        <w:tc>
          <w:tcPr>
            <w:tcBorders>
              <w:top w:color="000000" w:space="0" w:sz="4" w:val="single"/>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25">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198</w:t>
            </w:r>
          </w:p>
        </w:tc>
        <w:tc>
          <w:tcPr>
            <w:tcBorders>
              <w:top w:color="000000" w:space="0" w:sz="4" w:val="single"/>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26">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0,78</w:t>
            </w:r>
          </w:p>
        </w:tc>
      </w:tr>
      <w:tr>
        <w:trPr>
          <w:cantSplit w:val="0"/>
          <w:trHeight w:val="291"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27">
            <w:pPr>
              <w:spacing w:after="0" w:line="240" w:lineRule="auto"/>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Aeroporto</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28">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45</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29">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93,75</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2A">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2B">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0,00</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2C">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3</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2D">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6,25</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2E">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2F">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0,00</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30">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48</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31">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0,19</w:t>
            </w:r>
          </w:p>
        </w:tc>
      </w:tr>
      <w:tr>
        <w:trPr>
          <w:cantSplit w:val="0"/>
          <w:trHeight w:val="291"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32">
            <w:pPr>
              <w:spacing w:after="0" w:line="240" w:lineRule="auto"/>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Asa Branca</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33">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541</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34">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98,36</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35">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2</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36">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0,36</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37">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7</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38">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1,27</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39">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3A">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0,00</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3B">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550</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3C">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2,16</w:t>
            </w:r>
          </w:p>
        </w:tc>
      </w:tr>
      <w:tr>
        <w:trPr>
          <w:cantSplit w:val="0"/>
          <w:trHeight w:val="291"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3D">
            <w:pPr>
              <w:spacing w:after="0" w:line="240" w:lineRule="auto"/>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Aviário</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3E">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489</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3F">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97,60</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40">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4</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41">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0,80</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42">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7</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43">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1,40</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44">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45">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0,20</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46">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501</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47">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1,97</w:t>
            </w:r>
          </w:p>
        </w:tc>
      </w:tr>
      <w:tr>
        <w:trPr>
          <w:cantSplit w:val="0"/>
          <w:trHeight w:val="291"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48">
            <w:pPr>
              <w:spacing w:after="0" w:line="240" w:lineRule="auto"/>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Baraúna</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49">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225</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4A">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96,98</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4B">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4C">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0,43</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4D">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6</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4E">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2,59</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4F">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50">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0,00</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51">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232</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52">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0,91</w:t>
            </w:r>
          </w:p>
        </w:tc>
      </w:tr>
      <w:tr>
        <w:trPr>
          <w:cantSplit w:val="0"/>
          <w:trHeight w:val="291"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53">
            <w:pPr>
              <w:spacing w:after="0" w:line="240" w:lineRule="auto"/>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Bomfim da Feira</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54">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62</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55">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96,88</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56">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57">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1,56</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58">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59">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1,56</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5A">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5B">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0,00</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5C">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64</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5D">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0,25</w:t>
            </w:r>
          </w:p>
        </w:tc>
      </w:tr>
      <w:tr>
        <w:trPr>
          <w:cantSplit w:val="0"/>
          <w:trHeight w:val="291"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5E">
            <w:pPr>
              <w:spacing w:after="0" w:line="240" w:lineRule="auto"/>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Brasília</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5F">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813</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60">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97,25</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61">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62">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0,12</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63">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22</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64">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2,63</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65">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66">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0,00</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67">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836</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68">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3,28</w:t>
            </w:r>
          </w:p>
        </w:tc>
      </w:tr>
      <w:tr>
        <w:trPr>
          <w:cantSplit w:val="0"/>
          <w:trHeight w:val="291"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69">
            <w:pPr>
              <w:spacing w:after="0" w:line="240" w:lineRule="auto"/>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Calumbi</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6A">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847</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6B">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97,24</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6C">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3</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6D">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0,34</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6E">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21</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6F">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2,41</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70">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71">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0,00</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72">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871</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73">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3,42</w:t>
            </w:r>
          </w:p>
        </w:tc>
      </w:tr>
      <w:tr>
        <w:trPr>
          <w:cantSplit w:val="0"/>
          <w:trHeight w:val="291"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74">
            <w:pPr>
              <w:spacing w:after="0" w:line="240" w:lineRule="auto"/>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Campo do Gado Novo</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75">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119</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76">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98,35</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77">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78">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0,83</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79">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7A">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0,83</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7B">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7C">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0,00</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7D">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121</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7E">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0,47</w:t>
            </w:r>
          </w:p>
        </w:tc>
      </w:tr>
      <w:tr>
        <w:trPr>
          <w:cantSplit w:val="0"/>
          <w:trHeight w:val="291"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7F">
            <w:pPr>
              <w:spacing w:after="0" w:line="240" w:lineRule="auto"/>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Campo Limpo</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880">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1846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881">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97,98</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82">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5</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83">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0,27</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84">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33</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85">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1,75</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86">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87">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0,00</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88">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1884</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89">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7,39</w:t>
            </w:r>
          </w:p>
        </w:tc>
      </w:tr>
      <w:tr>
        <w:trPr>
          <w:cantSplit w:val="0"/>
          <w:trHeight w:val="291"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8A">
            <w:pPr>
              <w:spacing w:after="0" w:line="240" w:lineRule="auto"/>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Capuchinhos</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8B">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320</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8C">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96,97</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8D">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8E">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0,30</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8F">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8</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90">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2,42</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91">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92">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0,30</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93">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330</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94">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1,29</w:t>
            </w:r>
          </w:p>
        </w:tc>
      </w:tr>
      <w:tr>
        <w:trPr>
          <w:cantSplit w:val="0"/>
          <w:trHeight w:val="291"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95">
            <w:pPr>
              <w:spacing w:after="0" w:line="240" w:lineRule="auto"/>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Caseb</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96">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567</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97">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98,10</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98">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99">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0,00</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9A">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11</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9B">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1,90</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9C">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9D">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0,00</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9E">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578</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9F">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2,27</w:t>
            </w:r>
          </w:p>
        </w:tc>
      </w:tr>
      <w:tr>
        <w:trPr>
          <w:cantSplit w:val="0"/>
          <w:trHeight w:val="291"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A0">
            <w:pPr>
              <w:spacing w:after="0" w:line="240" w:lineRule="auto"/>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Centro</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A1">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686</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A2">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97,86</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A3">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A4">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0,14</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A5">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12</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A6">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1,71</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A7">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2</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A8">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0,29</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A9">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701</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AA">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2,75</w:t>
            </w:r>
          </w:p>
        </w:tc>
      </w:tr>
      <w:tr>
        <w:trPr>
          <w:cantSplit w:val="0"/>
          <w:trHeight w:val="291"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AB">
            <w:pPr>
              <w:spacing w:after="0" w:line="240" w:lineRule="auto"/>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Chácara São Cosme</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AC">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163</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AD">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98,79</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AE">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AF">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0,61</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B0">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B1">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0,61</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B2">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B3">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0,00</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B4">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165</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B5">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0,65</w:t>
            </w:r>
          </w:p>
        </w:tc>
      </w:tr>
      <w:tr>
        <w:trPr>
          <w:cantSplit w:val="0"/>
          <w:trHeight w:val="291"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B6">
            <w:pPr>
              <w:spacing w:after="0" w:line="240" w:lineRule="auto"/>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Cidade Nova</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B7">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414</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B8">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98,10</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B9">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2</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BA">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0,47</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BB">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6</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BC">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1,42</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BD">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BE">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0,00</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BF">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422</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C0">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1,66</w:t>
            </w:r>
          </w:p>
        </w:tc>
      </w:tr>
      <w:tr>
        <w:trPr>
          <w:cantSplit w:val="0"/>
          <w:trHeight w:val="291"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C1">
            <w:pPr>
              <w:spacing w:after="0" w:line="240" w:lineRule="auto"/>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CIS</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C2">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275</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C3">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97,52</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C4">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2</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C5">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0,71</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C6">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5</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C7">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1,77</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C8">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C9">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0,00</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CA">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282</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CB">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1,11</w:t>
            </w:r>
          </w:p>
        </w:tc>
      </w:tr>
      <w:tr>
        <w:trPr>
          <w:cantSplit w:val="0"/>
          <w:trHeight w:val="291"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CC">
            <w:pPr>
              <w:spacing w:after="0" w:line="240" w:lineRule="auto"/>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Conceição</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CD">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866</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CE">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97,74</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CF">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D0">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0,00</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D1">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17</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D2">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1,92</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D3">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3</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D4">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0,34</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D5">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886</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D6">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3,48</w:t>
            </w:r>
          </w:p>
        </w:tc>
      </w:tr>
      <w:tr>
        <w:trPr>
          <w:cantSplit w:val="0"/>
          <w:trHeight w:val="291"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D7">
            <w:pPr>
              <w:spacing w:after="0" w:line="240" w:lineRule="auto"/>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Cruzeiro</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D8">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21</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D9">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100,00</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DA">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DB">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0,00</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DC">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DD">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0,00</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DE">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DF">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0,00</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E0">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21</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E1">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0,08</w:t>
            </w:r>
          </w:p>
        </w:tc>
      </w:tr>
      <w:tr>
        <w:trPr>
          <w:cantSplit w:val="0"/>
          <w:trHeight w:val="291"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E2">
            <w:pPr>
              <w:spacing w:after="0" w:line="240" w:lineRule="auto"/>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Gabriela</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E3">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683</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E4">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98,41</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E5">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2</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E6">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0,29</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E7">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9</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E8">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1,30</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E9">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EA">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0,00</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EB">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694</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EC">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2,72</w:t>
            </w:r>
          </w:p>
        </w:tc>
      </w:tr>
      <w:tr>
        <w:trPr>
          <w:cantSplit w:val="0"/>
          <w:trHeight w:val="291"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ED">
            <w:pPr>
              <w:spacing w:after="0" w:line="240" w:lineRule="auto"/>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Gov. João Durval Carneiro</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EE">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150</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EF">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98,68</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F0">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F1">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0,66</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F2">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F3">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0,66</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F4">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F5">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0,00</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F6">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152</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F7">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0,60</w:t>
            </w:r>
          </w:p>
        </w:tc>
      </w:tr>
      <w:tr>
        <w:trPr>
          <w:cantSplit w:val="0"/>
          <w:trHeight w:val="291"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F8">
            <w:pPr>
              <w:spacing w:after="0" w:line="240" w:lineRule="auto"/>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Humildes</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F9">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833</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FA">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98,46</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FB">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3</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FC">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0,35</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FD">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10</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FE">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1,18</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8FF">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900">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0,00</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901">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846</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902">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3,32</w:t>
            </w:r>
          </w:p>
        </w:tc>
      </w:tr>
      <w:tr>
        <w:trPr>
          <w:cantSplit w:val="0"/>
          <w:trHeight w:val="291"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903">
            <w:pPr>
              <w:spacing w:after="0" w:line="240" w:lineRule="auto"/>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Jaguara</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904">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100</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905">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98,04</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906">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907">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0,98</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908">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909">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0,98</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90A">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90B">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0,00</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90C">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102</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90D">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0,40</w:t>
            </w:r>
          </w:p>
        </w:tc>
      </w:tr>
      <w:tr>
        <w:trPr>
          <w:cantSplit w:val="0"/>
          <w:trHeight w:val="291"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90E">
            <w:pPr>
              <w:spacing w:after="0" w:line="240" w:lineRule="auto"/>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Jaíba</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90F">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189</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910">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99,47</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911">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912">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0,00</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913">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914">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0,53</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915">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916">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0,00</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917">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190</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918">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0,75</w:t>
            </w:r>
          </w:p>
        </w:tc>
      </w:tr>
      <w:tr>
        <w:trPr>
          <w:cantSplit w:val="0"/>
          <w:trHeight w:val="291"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919">
            <w:pPr>
              <w:spacing w:after="0" w:line="240" w:lineRule="auto"/>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Jardim Acácia</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91A">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322</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91B">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98,17</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91C">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91D">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0,30</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91E">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5</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91F">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1,52</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920">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921">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0,00</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922">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328</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923">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1,29</w:t>
            </w:r>
          </w:p>
        </w:tc>
      </w:tr>
      <w:tr>
        <w:trPr>
          <w:cantSplit w:val="0"/>
          <w:trHeight w:val="291"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924">
            <w:pPr>
              <w:spacing w:after="0" w:line="240" w:lineRule="auto"/>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Jardim Cruzeiro</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925">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740</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926">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98,40</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927">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928">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0,00</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929">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10</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92A">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1,33</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92B">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2</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92C">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0,27</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92D">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752</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92E">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2,95</w:t>
            </w:r>
          </w:p>
        </w:tc>
      </w:tr>
      <w:tr>
        <w:trPr>
          <w:cantSplit w:val="0"/>
          <w:trHeight w:val="291"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92F">
            <w:pPr>
              <w:spacing w:after="0" w:line="240" w:lineRule="auto"/>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Lagoa Grande</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930">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136</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931">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95,10</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932">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3</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933">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2,10</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934">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4</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935">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2,80</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936">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937">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0,00</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938">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143</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939">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0,56</w:t>
            </w:r>
          </w:p>
        </w:tc>
      </w:tr>
      <w:tr>
        <w:trPr>
          <w:cantSplit w:val="0"/>
          <w:trHeight w:val="291"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93A">
            <w:pPr>
              <w:spacing w:after="0" w:line="240" w:lineRule="auto"/>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Lagoa Salgada</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93B">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126</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93C">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96,18</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93D">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3</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93E">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2,29</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93F">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2</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940">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1,53</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941">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942">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0,00</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943">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131</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944">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0,51</w:t>
            </w:r>
          </w:p>
        </w:tc>
      </w:tr>
      <w:tr>
        <w:trPr>
          <w:cantSplit w:val="0"/>
          <w:trHeight w:val="291"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945">
            <w:pPr>
              <w:spacing w:after="0" w:line="240" w:lineRule="auto"/>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Limoeiro</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46">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150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47">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98,68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48">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49">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0,66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4A">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4B">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0,66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4C">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4D">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0,00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4E">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152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4F">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0,60</w:t>
            </w:r>
          </w:p>
        </w:tc>
      </w:tr>
      <w:tr>
        <w:trPr>
          <w:cantSplit w:val="0"/>
          <w:trHeight w:val="291"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950">
            <w:pPr>
              <w:spacing w:after="0" w:line="240" w:lineRule="auto"/>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Mangabeira</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51">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1206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52">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97,97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53">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54">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0,65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55">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56">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1,30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57">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58">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0,08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59">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1231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5A">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4,83</w:t>
            </w:r>
          </w:p>
        </w:tc>
      </w:tr>
      <w:tr>
        <w:trPr>
          <w:cantSplit w:val="0"/>
          <w:trHeight w:val="291"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95B">
            <w:pPr>
              <w:spacing w:after="0" w:line="240" w:lineRule="auto"/>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Maria Quitéria</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5C">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932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5D">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97,90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5E">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5F">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0,84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60">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61">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1,26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62">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63">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0,00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64">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952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65">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3,74</w:t>
            </w:r>
          </w:p>
        </w:tc>
      </w:tr>
      <w:tr>
        <w:trPr>
          <w:cantSplit w:val="0"/>
          <w:trHeight w:val="291"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966">
            <w:pPr>
              <w:spacing w:after="0" w:line="240" w:lineRule="auto"/>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Matinha</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67">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457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68">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98,28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69">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6A">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0,86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6B">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6C">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0,43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6D">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6E">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0,43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6F">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465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70">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1,82</w:t>
            </w:r>
          </w:p>
        </w:tc>
      </w:tr>
      <w:tr>
        <w:trPr>
          <w:cantSplit w:val="0"/>
          <w:trHeight w:val="291"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971">
            <w:pPr>
              <w:spacing w:after="0" w:line="240" w:lineRule="auto"/>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Muchila</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72">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1029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73">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98,28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74">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75">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0,19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76">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77">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1,53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78">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79">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0,00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7A">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1047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7B">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4,11</w:t>
            </w:r>
          </w:p>
        </w:tc>
      </w:tr>
      <w:tr>
        <w:trPr>
          <w:cantSplit w:val="0"/>
          <w:trHeight w:val="291"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97C">
            <w:pPr>
              <w:spacing w:after="0" w:line="240" w:lineRule="auto"/>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Nova Esperança</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7D">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108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7E">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96,43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7F">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80">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0,00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81">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82">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3,57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83">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84">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0,00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85">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112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86">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0,44</w:t>
            </w:r>
          </w:p>
        </w:tc>
      </w:tr>
      <w:tr>
        <w:trPr>
          <w:cantSplit w:val="0"/>
          <w:trHeight w:val="291"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987">
            <w:pPr>
              <w:spacing w:after="0" w:line="240" w:lineRule="auto"/>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Novo Horizonte</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88">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196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89">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98,99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8A">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8B">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0,51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8C">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8D">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0,51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8E">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8F">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0,00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90">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198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91">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0,78</w:t>
            </w:r>
          </w:p>
        </w:tc>
      </w:tr>
      <w:tr>
        <w:trPr>
          <w:cantSplit w:val="0"/>
          <w:trHeight w:val="291"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992">
            <w:pPr>
              <w:spacing w:after="0" w:line="240" w:lineRule="auto"/>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Olhos D’água</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93">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140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94">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99,29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95">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96">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0,00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97">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98">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0,00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99">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9A">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0,71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9B">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141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9C">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0,55</w:t>
            </w:r>
          </w:p>
        </w:tc>
      </w:tr>
      <w:tr>
        <w:trPr>
          <w:cantSplit w:val="0"/>
          <w:trHeight w:val="291"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99D">
            <w:pPr>
              <w:spacing w:after="0" w:line="240" w:lineRule="auto"/>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Pampalona</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9E">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400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9F">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97,09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A0">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A1">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0,49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A2">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A3">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2,43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A4">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A5">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0,00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A6">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412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A7">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1,62</w:t>
            </w:r>
          </w:p>
        </w:tc>
      </w:tr>
      <w:tr>
        <w:trPr>
          <w:cantSplit w:val="0"/>
          <w:trHeight w:val="291"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9A8">
            <w:pPr>
              <w:spacing w:after="0" w:line="240" w:lineRule="auto"/>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Papagaio</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A9">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397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AA">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97,78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AB">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AC">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0,99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AD">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AE">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1,23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AF">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B0">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0,00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B1">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406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B2">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1,59</w:t>
            </w:r>
          </w:p>
        </w:tc>
      </w:tr>
      <w:tr>
        <w:trPr>
          <w:cantSplit w:val="0"/>
          <w:trHeight w:val="291"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9B3">
            <w:pPr>
              <w:spacing w:after="0" w:line="240" w:lineRule="auto"/>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Parque Getúlio Vargas</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B4">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245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B5">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99,19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B6">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B7">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0,40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B8">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B9">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0,40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BA">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BB">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0,00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BC">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247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BD">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0,97</w:t>
            </w:r>
          </w:p>
        </w:tc>
      </w:tr>
      <w:tr>
        <w:trPr>
          <w:cantSplit w:val="0"/>
          <w:trHeight w:val="291"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9BE">
            <w:pPr>
              <w:spacing w:after="0" w:line="240" w:lineRule="auto"/>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Parque Ipê</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BF">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651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C0">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97,02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C1">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C2">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0,45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C3">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C4">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2,38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C5">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C6">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0,15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C7">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671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C8">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2,63</w:t>
            </w:r>
          </w:p>
        </w:tc>
      </w:tr>
      <w:tr>
        <w:trPr>
          <w:cantSplit w:val="0"/>
          <w:trHeight w:val="291"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9C9">
            <w:pPr>
              <w:spacing w:after="0" w:line="240" w:lineRule="auto"/>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Pedra do Descanso</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CA">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436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CB">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97,76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CC">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CD">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0,45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CE">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CF">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1,57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D0">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D1">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0,22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D2">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446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D3">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1,75</w:t>
            </w:r>
          </w:p>
        </w:tc>
      </w:tr>
      <w:tr>
        <w:trPr>
          <w:cantSplit w:val="0"/>
          <w:trHeight w:val="291"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9D4">
            <w:pPr>
              <w:spacing w:after="0" w:line="240" w:lineRule="auto"/>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Ponto Central</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D5">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428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D6">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97,27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D7">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D8">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0,23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D9">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DA">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2,50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DB">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DC">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0,00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DD">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440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DE">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1,73</w:t>
            </w:r>
          </w:p>
        </w:tc>
      </w:tr>
      <w:tr>
        <w:trPr>
          <w:cantSplit w:val="0"/>
          <w:trHeight w:val="291"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9DF">
            <w:pPr>
              <w:spacing w:after="0" w:line="240" w:lineRule="auto"/>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Queimadinha</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E0">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868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E1">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96,23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E2">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E3">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0,89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E4">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24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E5">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2,66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E6">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E7">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0,22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E8">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902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E9">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3,54</w:t>
            </w:r>
          </w:p>
        </w:tc>
      </w:tr>
      <w:tr>
        <w:trPr>
          <w:cantSplit w:val="0"/>
          <w:trHeight w:val="291"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9EA">
            <w:pPr>
              <w:spacing w:after="0" w:line="240" w:lineRule="auto"/>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Rua Nova</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EB">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572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EC">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95,17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ED">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EE">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0,83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EF">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23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F0">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3,83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F1">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F2">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0,17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F3">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601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9F4">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2,36</w:t>
            </w:r>
          </w:p>
        </w:tc>
      </w:tr>
    </w:tbl>
    <w:p w:rsidR="00000000" w:rsidDel="00000000" w:rsidP="00000000" w:rsidRDefault="00000000" w:rsidRPr="00000000" w14:paraId="000009F5">
      <w:pPr>
        <w:rPr>
          <w:rFonts w:ascii="Times New Roman" w:cs="Times New Roman" w:eastAsia="Times New Roman" w:hAnsi="Times New Roman"/>
          <w:b w:val="1"/>
          <w:color w:val="000000"/>
          <w:sz w:val="16"/>
          <w:szCs w:val="16"/>
        </w:rPr>
      </w:pPr>
      <w:r w:rsidDel="00000000" w:rsidR="00000000" w:rsidRPr="00000000">
        <w:br w:type="page"/>
      </w:r>
      <w:r w:rsidDel="00000000" w:rsidR="00000000" w:rsidRPr="00000000">
        <w:rPr>
          <w:rtl w:val="0"/>
        </w:rPr>
      </w:r>
    </w:p>
    <w:p w:rsidR="00000000" w:rsidDel="00000000" w:rsidP="00000000" w:rsidRDefault="00000000" w:rsidRPr="00000000" w14:paraId="000009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60" w:before="120" w:line="240" w:lineRule="auto"/>
        <w:ind w:left="1134" w:right="0" w:hanging="1134"/>
        <w:jc w:val="both"/>
        <w:rPr>
          <w:rFonts w:ascii="Times New Roman" w:cs="Times New Roman" w:eastAsia="Times New Roman" w:hAnsi="Times New Roman"/>
          <w:b w:val="1"/>
          <w:i w:val="1"/>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Tabela 10.</w:t>
        <w:tab/>
        <w:t xml:space="preserve">Frequência absoluta (Fi), frequência relativa (fi)  dos agravos a seres humanos  segundo o tipo espécie agressora em Feira de Santana, BA, 2008-2019. </w:t>
      </w: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continuação</w:t>
      </w:r>
      <w:r w:rsidDel="00000000" w:rsidR="00000000" w:rsidRPr="00000000">
        <w:rPr>
          <w:rtl w:val="0"/>
        </w:rPr>
      </w:r>
    </w:p>
    <w:tbl>
      <w:tblPr>
        <w:tblStyle w:val="Table13"/>
        <w:tblW w:w="8812.0" w:type="dxa"/>
        <w:jc w:val="left"/>
        <w:tblInd w:w="-142.0" w:type="dxa"/>
        <w:tblLayout w:type="fixed"/>
        <w:tblLook w:val="0400"/>
      </w:tblPr>
      <w:tblGrid>
        <w:gridCol w:w="1763"/>
        <w:gridCol w:w="542"/>
        <w:gridCol w:w="949"/>
        <w:gridCol w:w="677"/>
        <w:gridCol w:w="679"/>
        <w:gridCol w:w="677"/>
        <w:gridCol w:w="678"/>
        <w:gridCol w:w="406"/>
        <w:gridCol w:w="950"/>
        <w:gridCol w:w="677"/>
        <w:gridCol w:w="814"/>
        <w:tblGridChange w:id="0">
          <w:tblGrid>
            <w:gridCol w:w="1763"/>
            <w:gridCol w:w="542"/>
            <w:gridCol w:w="949"/>
            <w:gridCol w:w="677"/>
            <w:gridCol w:w="679"/>
            <w:gridCol w:w="677"/>
            <w:gridCol w:w="678"/>
            <w:gridCol w:w="406"/>
            <w:gridCol w:w="950"/>
            <w:gridCol w:w="677"/>
            <w:gridCol w:w="814"/>
          </w:tblGrid>
        </w:tblGridChange>
      </w:tblGrid>
      <w:tr>
        <w:trPr>
          <w:cantSplit w:val="0"/>
          <w:trHeight w:val="291" w:hRule="atLeast"/>
          <w:tblHeader w:val="0"/>
        </w:trPr>
        <w:tc>
          <w:tcPr>
            <w:vMerge w:val="restart"/>
            <w:tcBorders>
              <w:top w:color="000000" w:space="0" w:sz="4" w:val="single"/>
              <w:left w:color="000000" w:space="0" w:sz="0" w:val="nil"/>
              <w:bottom w:color="000000" w:space="0" w:sz="4" w:val="single"/>
              <w:right w:color="000000" w:space="0" w:sz="0" w:val="nil"/>
            </w:tcBorders>
            <w:shd w:fill="ffffff" w:val="clear"/>
            <w:vAlign w:val="center"/>
          </w:tcPr>
          <w:p w:rsidR="00000000" w:rsidDel="00000000" w:rsidP="00000000" w:rsidRDefault="00000000" w:rsidRPr="00000000" w14:paraId="000009F7">
            <w:pPr>
              <w:spacing w:after="0" w:line="240" w:lineRule="auto"/>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NOME DOS BAIRROS</w:t>
            </w:r>
            <w:r w:rsidDel="00000000" w:rsidR="00000000" w:rsidRPr="00000000">
              <w:rPr>
                <w:rFonts w:ascii="Times New Roman" w:cs="Times New Roman" w:eastAsia="Times New Roman" w:hAnsi="Times New Roman"/>
                <w:color w:val="000000"/>
                <w:sz w:val="16"/>
                <w:szCs w:val="16"/>
                <w:rtl w:val="0"/>
              </w:rPr>
              <w:t xml:space="preserve"> </w:t>
            </w:r>
            <w:r w:rsidDel="00000000" w:rsidR="00000000" w:rsidRPr="00000000">
              <w:rPr>
                <w:rtl w:val="0"/>
              </w:rPr>
            </w:r>
          </w:p>
        </w:tc>
        <w:tc>
          <w:tcPr>
            <w:gridSpan w:val="2"/>
            <w:tcBorders>
              <w:top w:color="000000" w:space="0" w:sz="4" w:val="single"/>
              <w:left w:color="000000" w:space="0" w:sz="0" w:val="nil"/>
              <w:right w:color="000000" w:space="0" w:sz="0" w:val="nil"/>
            </w:tcBorders>
            <w:shd w:fill="ffffff" w:val="clear"/>
            <w:vAlign w:val="center"/>
          </w:tcPr>
          <w:p w:rsidR="00000000" w:rsidDel="00000000" w:rsidP="00000000" w:rsidRDefault="00000000" w:rsidRPr="00000000" w14:paraId="000009F8">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CARNIVORO</w:t>
            </w:r>
          </w:p>
        </w:tc>
        <w:tc>
          <w:tcPr>
            <w:gridSpan w:val="2"/>
            <w:tcBorders>
              <w:top w:color="000000" w:space="0" w:sz="4" w:val="single"/>
              <w:left w:color="000000" w:space="0" w:sz="0" w:val="nil"/>
              <w:right w:color="000000" w:space="0" w:sz="0" w:val="nil"/>
            </w:tcBorders>
            <w:shd w:fill="ffffff" w:val="clear"/>
            <w:vAlign w:val="center"/>
          </w:tcPr>
          <w:p w:rsidR="00000000" w:rsidDel="00000000" w:rsidP="00000000" w:rsidRDefault="00000000" w:rsidRPr="00000000" w14:paraId="000009FA">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HERBIVORO</w:t>
            </w:r>
          </w:p>
        </w:tc>
        <w:tc>
          <w:tcPr>
            <w:gridSpan w:val="2"/>
            <w:tcBorders>
              <w:top w:color="000000" w:space="0" w:sz="4" w:val="single"/>
              <w:left w:color="000000" w:space="0" w:sz="0" w:val="nil"/>
              <w:right w:color="000000" w:space="0" w:sz="0" w:val="nil"/>
            </w:tcBorders>
            <w:shd w:fill="ffffff" w:val="clear"/>
            <w:vAlign w:val="center"/>
          </w:tcPr>
          <w:p w:rsidR="00000000" w:rsidDel="00000000" w:rsidP="00000000" w:rsidRDefault="00000000" w:rsidRPr="00000000" w14:paraId="000009FC">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SILVESTRE</w:t>
            </w:r>
          </w:p>
        </w:tc>
        <w:tc>
          <w:tcPr>
            <w:gridSpan w:val="2"/>
            <w:tcBorders>
              <w:top w:color="000000" w:space="0" w:sz="4" w:val="single"/>
              <w:left w:color="000000" w:space="0" w:sz="0" w:val="nil"/>
              <w:right w:color="000000" w:space="0" w:sz="0" w:val="nil"/>
            </w:tcBorders>
            <w:shd w:fill="ffffff" w:val="clear"/>
            <w:vAlign w:val="center"/>
          </w:tcPr>
          <w:p w:rsidR="00000000" w:rsidDel="00000000" w:rsidP="00000000" w:rsidRDefault="00000000" w:rsidRPr="00000000" w14:paraId="000009FE">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SINANTROPICO</w:t>
            </w:r>
          </w:p>
        </w:tc>
        <w:tc>
          <w:tcPr>
            <w:gridSpan w:val="2"/>
            <w:tcBorders>
              <w:top w:color="000000" w:space="0" w:sz="4" w:val="single"/>
              <w:left w:color="000000" w:space="0" w:sz="0" w:val="nil"/>
              <w:right w:color="000000" w:space="0" w:sz="0" w:val="nil"/>
            </w:tcBorders>
            <w:shd w:fill="ffffff" w:val="clear"/>
            <w:vAlign w:val="center"/>
          </w:tcPr>
          <w:p w:rsidR="00000000" w:rsidDel="00000000" w:rsidP="00000000" w:rsidRDefault="00000000" w:rsidRPr="00000000" w14:paraId="00000A00">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TOTAL</w:t>
            </w:r>
          </w:p>
        </w:tc>
      </w:tr>
      <w:tr>
        <w:trPr>
          <w:cantSplit w:val="0"/>
          <w:trHeight w:val="291" w:hRule="atLeast"/>
          <w:tblHeader w:val="0"/>
        </w:trPr>
        <w:tc>
          <w:tcPr>
            <w:vMerge w:val="continue"/>
            <w:tcBorders>
              <w:top w:color="000000" w:space="0" w:sz="4" w:val="single"/>
              <w:left w:color="000000" w:space="0" w:sz="0" w:val="nil"/>
              <w:bottom w:color="000000" w:space="0" w:sz="4" w:val="single"/>
              <w:right w:color="000000" w:space="0" w:sz="0" w:val="nil"/>
            </w:tcBorders>
            <w:shd w:fill="ffffff" w:val="clear"/>
            <w:vAlign w:val="center"/>
          </w:tcPr>
          <w:p w:rsidR="00000000" w:rsidDel="00000000" w:rsidP="00000000" w:rsidRDefault="00000000" w:rsidRPr="00000000" w14:paraId="00000A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A03">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Fi</w:t>
            </w:r>
          </w:p>
        </w:tc>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A04">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fi</w:t>
            </w:r>
          </w:p>
        </w:tc>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A05">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Fi</w:t>
            </w:r>
          </w:p>
        </w:tc>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A06">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fi</w:t>
            </w:r>
          </w:p>
        </w:tc>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A07">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Fi</w:t>
            </w:r>
          </w:p>
        </w:tc>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A08">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fi</w:t>
            </w:r>
          </w:p>
        </w:tc>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A09">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Fi</w:t>
            </w:r>
          </w:p>
        </w:tc>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A0A">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fi</w:t>
            </w:r>
          </w:p>
        </w:tc>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A0B">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Fi</w:t>
            </w:r>
          </w:p>
        </w:tc>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A0C">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fi</w:t>
            </w:r>
          </w:p>
        </w:tc>
      </w:tr>
      <w:tr>
        <w:trPr>
          <w:cantSplit w:val="0"/>
          <w:trHeight w:val="291" w:hRule="atLeast"/>
          <w:tblHeader w:val="0"/>
        </w:trPr>
        <w:tc>
          <w:tcPr>
            <w:tcBorders>
              <w:top w:color="000000" w:space="0" w:sz="4" w:val="single"/>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A0D">
            <w:pPr>
              <w:spacing w:after="0" w:line="240" w:lineRule="auto"/>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Santa Mônica</w:t>
            </w:r>
          </w:p>
        </w:tc>
        <w:tc>
          <w:tcPr>
            <w:tcBorders>
              <w:top w:color="000000" w:space="0" w:sz="4" w:val="single"/>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0E">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470</w:t>
            </w:r>
          </w:p>
        </w:tc>
        <w:tc>
          <w:tcPr>
            <w:tcBorders>
              <w:top w:color="000000" w:space="0" w:sz="4" w:val="single"/>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0F">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97,71</w:t>
            </w:r>
          </w:p>
        </w:tc>
        <w:tc>
          <w:tcPr>
            <w:tcBorders>
              <w:top w:color="000000" w:space="0" w:sz="4" w:val="single"/>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10">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3</w:t>
            </w:r>
          </w:p>
        </w:tc>
        <w:tc>
          <w:tcPr>
            <w:tcBorders>
              <w:top w:color="000000" w:space="0" w:sz="4" w:val="single"/>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11">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0,62</w:t>
            </w:r>
          </w:p>
        </w:tc>
        <w:tc>
          <w:tcPr>
            <w:tcBorders>
              <w:top w:color="000000" w:space="0" w:sz="4" w:val="single"/>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12">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8</w:t>
            </w:r>
          </w:p>
        </w:tc>
        <w:tc>
          <w:tcPr>
            <w:tcBorders>
              <w:top w:color="000000" w:space="0" w:sz="4" w:val="single"/>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13">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1,66</w:t>
            </w:r>
          </w:p>
        </w:tc>
        <w:tc>
          <w:tcPr>
            <w:tcBorders>
              <w:top w:color="000000" w:space="0" w:sz="4" w:val="single"/>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14">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w:t>
            </w:r>
          </w:p>
        </w:tc>
        <w:tc>
          <w:tcPr>
            <w:tcBorders>
              <w:top w:color="000000" w:space="0" w:sz="4" w:val="single"/>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15">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0,00</w:t>
            </w:r>
          </w:p>
        </w:tc>
        <w:tc>
          <w:tcPr>
            <w:tcBorders>
              <w:top w:color="000000" w:space="0" w:sz="4" w:val="single"/>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16">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481</w:t>
            </w:r>
          </w:p>
        </w:tc>
        <w:tc>
          <w:tcPr>
            <w:tcBorders>
              <w:top w:color="000000" w:space="0" w:sz="4" w:val="single"/>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17">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1,89</w:t>
            </w:r>
          </w:p>
        </w:tc>
      </w:tr>
      <w:tr>
        <w:trPr>
          <w:cantSplit w:val="0"/>
          <w:trHeight w:val="291"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A18">
            <w:pPr>
              <w:spacing w:after="0" w:line="240" w:lineRule="auto"/>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Santo Antônio dos Prazeres</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19">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483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1A">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97,18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1B">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1C">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0,80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1D">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1E">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1,81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1F">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20">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0,20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21">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497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22">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1,95</w:t>
            </w:r>
          </w:p>
        </w:tc>
      </w:tr>
      <w:tr>
        <w:trPr>
          <w:cantSplit w:val="0"/>
          <w:trHeight w:val="291"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A23">
            <w:pPr>
              <w:spacing w:after="0" w:line="240" w:lineRule="auto"/>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São João</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24">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213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25">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94,67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26">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27">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0,44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28">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29">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4,89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2A">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2B">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0,00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2C">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225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2D">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0,88</w:t>
            </w:r>
          </w:p>
        </w:tc>
      </w:tr>
      <w:tr>
        <w:trPr>
          <w:cantSplit w:val="0"/>
          <w:trHeight w:val="291"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A2E">
            <w:pPr>
              <w:spacing w:after="0" w:line="240" w:lineRule="auto"/>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Serraria Brasil</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2F">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186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30">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98,94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31">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32">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0,00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33">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34">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1,06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35">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36">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0,00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37">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188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38">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0,74</w:t>
            </w:r>
          </w:p>
        </w:tc>
      </w:tr>
      <w:tr>
        <w:trPr>
          <w:cantSplit w:val="0"/>
          <w:trHeight w:val="291"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A39">
            <w:pPr>
              <w:spacing w:after="0" w:line="240" w:lineRule="auto"/>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SIM</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3A">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347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3B">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95,59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3C">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3D">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1,93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3E">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3F">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2,20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40">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41">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0,28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42">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363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43">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1,42</w:t>
            </w:r>
          </w:p>
        </w:tc>
      </w:tr>
      <w:tr>
        <w:trPr>
          <w:cantSplit w:val="0"/>
          <w:trHeight w:val="291"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A44">
            <w:pPr>
              <w:spacing w:after="0" w:line="240" w:lineRule="auto"/>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Sobradinho</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45">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469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46">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96,11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47">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48">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0,61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49">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4A">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3,07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4B">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4C">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0,20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4D">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488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4E">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1,91</w:t>
            </w:r>
          </w:p>
        </w:tc>
      </w:tr>
      <w:tr>
        <w:trPr>
          <w:cantSplit w:val="0"/>
          <w:trHeight w:val="291"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A4F">
            <w:pPr>
              <w:spacing w:after="0" w:line="240" w:lineRule="auto"/>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Subaé</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50">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292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51">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97,33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52">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53">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1,67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54">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55">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1,00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56">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57">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0,00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58">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300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59">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1,18</w:t>
            </w:r>
          </w:p>
        </w:tc>
      </w:tr>
      <w:tr>
        <w:trPr>
          <w:cantSplit w:val="0"/>
          <w:trHeight w:val="291"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A5A">
            <w:pPr>
              <w:spacing w:after="0" w:line="240" w:lineRule="auto"/>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Tiquaruçu</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5B">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222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5C">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97,80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5D">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5E">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0,44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5F">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60">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1,76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61">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62">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0,00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63">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227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64">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0,89</w:t>
            </w:r>
          </w:p>
        </w:tc>
      </w:tr>
      <w:tr>
        <w:trPr>
          <w:cantSplit w:val="0"/>
          <w:trHeight w:val="291"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A65">
            <w:pPr>
              <w:spacing w:after="0" w:line="240" w:lineRule="auto"/>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Tomba</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66">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2226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67">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98,15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68">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69">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0,31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6A">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34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6B">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1,50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6C">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6D">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0,04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6E">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2268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6F">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8,90</w:t>
            </w:r>
          </w:p>
        </w:tc>
      </w:tr>
      <w:tr>
        <w:trPr>
          <w:cantSplit w:val="0"/>
          <w:trHeight w:val="291" w:hRule="atLeast"/>
          <w:tblHeader w:val="0"/>
        </w:trPr>
        <w:tc>
          <w:tcPr>
            <w:tcBorders>
              <w:top w:color="000000" w:space="0" w:sz="4" w:val="single"/>
              <w:left w:color="000000" w:space="0" w:sz="0" w:val="nil"/>
              <w:bottom w:color="000000" w:space="0" w:sz="8" w:val="single"/>
              <w:right w:color="000000" w:space="0" w:sz="0" w:val="nil"/>
            </w:tcBorders>
            <w:shd w:fill="ffffff" w:val="clear"/>
            <w:vAlign w:val="center"/>
          </w:tcPr>
          <w:p w:rsidR="00000000" w:rsidDel="00000000" w:rsidP="00000000" w:rsidRDefault="00000000" w:rsidRPr="00000000" w14:paraId="00000A70">
            <w:pPr>
              <w:spacing w:after="0" w:line="240" w:lineRule="auto"/>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Total</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A71">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24890</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A72">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97,65</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A73">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121</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A74">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0,47</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A75">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455</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A76">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1,79</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A77">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22</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A78">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0,09</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A79">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25488</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A7A">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100,00</w:t>
            </w:r>
          </w:p>
        </w:tc>
      </w:tr>
    </w:tbl>
    <w:p w:rsidR="00000000" w:rsidDel="00000000" w:rsidP="00000000" w:rsidRDefault="00000000" w:rsidRPr="00000000" w14:paraId="00000A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60" w:before="120" w:line="240" w:lineRule="auto"/>
        <w:ind w:left="1134" w:right="0" w:hanging="1134"/>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7C">
      <w:pPr>
        <w:rPr>
          <w:rFonts w:ascii="Times New Roman" w:cs="Times New Roman" w:eastAsia="Times New Roman" w:hAnsi="Times New Roman"/>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A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60" w:before="120" w:line="240" w:lineRule="auto"/>
        <w:ind w:left="1134" w:right="0" w:hanging="1134"/>
        <w:jc w:val="both"/>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heading=h.43ky6rz" w:id="71"/>
      <w:bookmarkEnd w:id="71"/>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Tabela 11.</w:t>
        <w:tab/>
        <w:t xml:space="preserve">Frequência absoluta (Fi), frequência relativa (fi), frequência relativa acumulada (fia) e intervalo de confiança (IC95%) dos agravos a seres humanos segundo os bairros do Município de Feira de Santana, BA, 2008-2019</w:t>
      </w:r>
    </w:p>
    <w:tbl>
      <w:tblPr>
        <w:tblStyle w:val="Table14"/>
        <w:tblW w:w="8504.0" w:type="dxa"/>
        <w:jc w:val="center"/>
        <w:tblLayout w:type="fixed"/>
        <w:tblLook w:val="0400"/>
      </w:tblPr>
      <w:tblGrid>
        <w:gridCol w:w="3599"/>
        <w:gridCol w:w="818"/>
        <w:gridCol w:w="981"/>
        <w:gridCol w:w="981"/>
        <w:gridCol w:w="1145"/>
        <w:gridCol w:w="980"/>
        <w:tblGridChange w:id="0">
          <w:tblGrid>
            <w:gridCol w:w="3599"/>
            <w:gridCol w:w="818"/>
            <w:gridCol w:w="981"/>
            <w:gridCol w:w="981"/>
            <w:gridCol w:w="1145"/>
            <w:gridCol w:w="980"/>
          </w:tblGrid>
        </w:tblGridChange>
      </w:tblGrid>
      <w:tr>
        <w:trPr>
          <w:cantSplit w:val="0"/>
          <w:trHeight w:val="237" w:hRule="atLeast"/>
          <w:tblHeader w:val="0"/>
        </w:trPr>
        <w:tc>
          <w:tcPr>
            <w:tcBorders>
              <w:top w:color="000000" w:space="0" w:sz="4" w:val="single"/>
              <w:left w:color="000000" w:space="0" w:sz="0" w:val="nil"/>
              <w:bottom w:color="000000" w:space="0" w:sz="8" w:val="single"/>
              <w:right w:color="000000" w:space="0" w:sz="0" w:val="nil"/>
            </w:tcBorders>
            <w:shd w:fill="ffffff" w:val="clear"/>
            <w:vAlign w:val="center"/>
          </w:tcPr>
          <w:p w:rsidR="00000000" w:rsidDel="00000000" w:rsidP="00000000" w:rsidRDefault="00000000" w:rsidRPr="00000000" w14:paraId="00000A7E">
            <w:pPr>
              <w:spacing w:after="0" w:line="240" w:lineRule="auto"/>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Nome do bairro</w:t>
            </w:r>
          </w:p>
        </w:tc>
        <w:tc>
          <w:tcPr>
            <w:tcBorders>
              <w:top w:color="000000" w:space="0" w:sz="4" w:val="single"/>
              <w:left w:color="000000" w:space="0" w:sz="0" w:val="nil"/>
              <w:bottom w:color="000000" w:space="0" w:sz="8" w:val="single"/>
              <w:right w:color="000000" w:space="0" w:sz="0" w:val="nil"/>
            </w:tcBorders>
            <w:shd w:fill="ffffff" w:val="clear"/>
            <w:vAlign w:val="center"/>
          </w:tcPr>
          <w:p w:rsidR="00000000" w:rsidDel="00000000" w:rsidP="00000000" w:rsidRDefault="00000000" w:rsidRPr="00000000" w14:paraId="00000A7F">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Fi</w:t>
            </w:r>
          </w:p>
        </w:tc>
        <w:tc>
          <w:tcPr>
            <w:tcBorders>
              <w:top w:color="000000" w:space="0" w:sz="4" w:val="single"/>
              <w:left w:color="000000" w:space="0" w:sz="0" w:val="nil"/>
              <w:bottom w:color="000000" w:space="0" w:sz="8" w:val="single"/>
              <w:right w:color="000000" w:space="0" w:sz="0" w:val="nil"/>
            </w:tcBorders>
            <w:shd w:fill="ffffff" w:val="clear"/>
            <w:vAlign w:val="center"/>
          </w:tcPr>
          <w:p w:rsidR="00000000" w:rsidDel="00000000" w:rsidP="00000000" w:rsidRDefault="00000000" w:rsidRPr="00000000" w14:paraId="00000A80">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fi</w:t>
            </w:r>
          </w:p>
        </w:tc>
        <w:tc>
          <w:tcPr>
            <w:tcBorders>
              <w:top w:color="000000" w:space="0" w:sz="4" w:val="single"/>
              <w:left w:color="000000" w:space="0" w:sz="0" w:val="nil"/>
              <w:bottom w:color="000000" w:space="0" w:sz="8" w:val="single"/>
              <w:right w:color="000000" w:space="0" w:sz="0" w:val="nil"/>
            </w:tcBorders>
            <w:shd w:fill="ffffff" w:val="clear"/>
            <w:vAlign w:val="center"/>
          </w:tcPr>
          <w:p w:rsidR="00000000" w:rsidDel="00000000" w:rsidP="00000000" w:rsidRDefault="00000000" w:rsidRPr="00000000" w14:paraId="00000A81">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fia</w:t>
            </w:r>
          </w:p>
        </w:tc>
        <w:tc>
          <w:tcPr>
            <w:tcBorders>
              <w:top w:color="000000" w:space="0" w:sz="4" w:val="single"/>
              <w:left w:color="000000" w:space="0" w:sz="0" w:val="nil"/>
              <w:bottom w:color="000000" w:space="0" w:sz="8" w:val="single"/>
              <w:right w:color="000000" w:space="0" w:sz="0" w:val="nil"/>
            </w:tcBorders>
            <w:shd w:fill="ffffff" w:val="clear"/>
            <w:vAlign w:val="center"/>
          </w:tcPr>
          <w:p w:rsidR="00000000" w:rsidDel="00000000" w:rsidP="00000000" w:rsidRDefault="00000000" w:rsidRPr="00000000" w14:paraId="00000A82">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Wilson 95% LCL</w:t>
            </w:r>
          </w:p>
        </w:tc>
        <w:tc>
          <w:tcPr>
            <w:tcBorders>
              <w:top w:color="000000" w:space="0" w:sz="4" w:val="single"/>
              <w:left w:color="000000" w:space="0" w:sz="0" w:val="nil"/>
              <w:bottom w:color="000000" w:space="0" w:sz="8" w:val="single"/>
              <w:right w:color="000000" w:space="0" w:sz="0" w:val="nil"/>
            </w:tcBorders>
            <w:shd w:fill="ffffff" w:val="clear"/>
            <w:vAlign w:val="center"/>
          </w:tcPr>
          <w:p w:rsidR="00000000" w:rsidDel="00000000" w:rsidP="00000000" w:rsidRDefault="00000000" w:rsidRPr="00000000" w14:paraId="00000A83">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Wilson 95% UCL</w:t>
            </w:r>
          </w:p>
        </w:tc>
      </w:tr>
      <w:tr>
        <w:trPr>
          <w:cantSplit w:val="0"/>
          <w:trHeight w:val="226" w:hRule="atLeast"/>
          <w:tblHeader w:val="0"/>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84">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35bi</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85">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198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86">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0,78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87">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0,78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88">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0,68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89">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0,89</w:t>
            </w:r>
          </w:p>
        </w:tc>
      </w:tr>
      <w:tr>
        <w:trPr>
          <w:cantSplit w:val="0"/>
          <w:trHeight w:val="226" w:hRule="atLeast"/>
          <w:tblHeader w:val="0"/>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8A">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Aeroporto</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8B">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48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8C">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0,19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8D">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0,96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8E">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0,14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8F">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0,25</w:t>
            </w:r>
          </w:p>
        </w:tc>
      </w:tr>
      <w:tr>
        <w:trPr>
          <w:cantSplit w:val="0"/>
          <w:trHeight w:val="226" w:hRule="atLeast"/>
          <w:tblHeader w:val="0"/>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90">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Asa Branca</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91">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550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92">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2,15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93">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3,12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94">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1,98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95">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2,34</w:t>
            </w:r>
          </w:p>
        </w:tc>
      </w:tr>
      <w:tr>
        <w:trPr>
          <w:cantSplit w:val="0"/>
          <w:trHeight w:val="226" w:hRule="atLeast"/>
          <w:tblHeader w:val="0"/>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96">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Aviário</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97">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503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98">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1,97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99">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5,09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9A">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1,81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9B">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2,15</w:t>
            </w:r>
          </w:p>
        </w:tc>
      </w:tr>
      <w:tr>
        <w:trPr>
          <w:cantSplit w:val="0"/>
          <w:trHeight w:val="226" w:hRule="atLeast"/>
          <w:tblHeader w:val="0"/>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9C">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Baraúna</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9D">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232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9E">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0,91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9F">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6,00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A0">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0,80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A1">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1,03</w:t>
            </w:r>
          </w:p>
        </w:tc>
      </w:tr>
      <w:tr>
        <w:trPr>
          <w:cantSplit w:val="0"/>
          <w:trHeight w:val="226" w:hRule="atLeast"/>
          <w:tblHeader w:val="0"/>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A2">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Bomfim da Feira</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A3">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64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A4">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0,25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A5">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6,25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A6">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0,20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A7">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0,32</w:t>
            </w:r>
          </w:p>
        </w:tc>
      </w:tr>
      <w:tr>
        <w:trPr>
          <w:cantSplit w:val="0"/>
          <w:trHeight w:val="226" w:hRule="atLeast"/>
          <w:tblHeader w:val="0"/>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A8">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Brasília</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A9">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836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AA">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3,27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AB">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9,52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AC">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3,06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AD">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3,50</w:t>
            </w:r>
          </w:p>
        </w:tc>
      </w:tr>
      <w:tr>
        <w:trPr>
          <w:cantSplit w:val="0"/>
          <w:trHeight w:val="226" w:hRule="atLeast"/>
          <w:tblHeader w:val="0"/>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AE">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Calumbi</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AF">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872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B0">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3,42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B1">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12,94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B2">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3,20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B3">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3,65</w:t>
            </w:r>
          </w:p>
        </w:tc>
      </w:tr>
      <w:tr>
        <w:trPr>
          <w:cantSplit w:val="0"/>
          <w:trHeight w:val="226" w:hRule="atLeast"/>
          <w:tblHeader w:val="0"/>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B4">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Campo do Gado Novo</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B5">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121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B6">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0,47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B7">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13,41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B8">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0,40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B9">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0,57</w:t>
            </w:r>
          </w:p>
        </w:tc>
      </w:tr>
      <w:tr>
        <w:trPr>
          <w:cantSplit w:val="0"/>
          <w:trHeight w:val="226" w:hRule="atLeast"/>
          <w:tblHeader w:val="0"/>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BA">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Campo Limpo</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BB">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1884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BC">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7,38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BD">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20,79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BE">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7,07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BF">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7,71</w:t>
            </w:r>
          </w:p>
        </w:tc>
      </w:tr>
      <w:tr>
        <w:trPr>
          <w:cantSplit w:val="0"/>
          <w:trHeight w:val="226" w:hRule="atLeast"/>
          <w:tblHeader w:val="0"/>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C0">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Capuchinhos</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C1">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330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C2">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1,29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C3">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22,08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C4">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1,16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C5">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1,44</w:t>
            </w:r>
          </w:p>
        </w:tc>
      </w:tr>
      <w:tr>
        <w:trPr>
          <w:cantSplit w:val="0"/>
          <w:trHeight w:val="226" w:hRule="atLeast"/>
          <w:tblHeader w:val="0"/>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C6">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Caseb</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C7">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579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C8">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2,27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C9">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24,35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CA">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2,09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CB">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2,46</w:t>
            </w:r>
          </w:p>
        </w:tc>
      </w:tr>
      <w:tr>
        <w:trPr>
          <w:cantSplit w:val="0"/>
          <w:trHeight w:val="226" w:hRule="atLeast"/>
          <w:tblHeader w:val="0"/>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CC">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Centro</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CD">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703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CE">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2,75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CF">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27,11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D0">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2,56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D1">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2,96</w:t>
            </w:r>
          </w:p>
        </w:tc>
      </w:tr>
      <w:tr>
        <w:trPr>
          <w:cantSplit w:val="0"/>
          <w:trHeight w:val="226" w:hRule="atLeast"/>
          <w:tblHeader w:val="0"/>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D2">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Chácara São Cosme</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D3">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165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D4">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0,65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D5">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27,75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D6">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0,56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D7">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0,75</w:t>
            </w:r>
          </w:p>
        </w:tc>
      </w:tr>
      <w:tr>
        <w:trPr>
          <w:cantSplit w:val="0"/>
          <w:trHeight w:val="226" w:hRule="atLeast"/>
          <w:tblHeader w:val="0"/>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D8">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Cidade Nova</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D9">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426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DA">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1,67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DB">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29,42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DC">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1,52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DD">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1,83</w:t>
            </w:r>
          </w:p>
        </w:tc>
      </w:tr>
      <w:tr>
        <w:trPr>
          <w:cantSplit w:val="0"/>
          <w:trHeight w:val="226" w:hRule="atLeast"/>
          <w:tblHeader w:val="0"/>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DE">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CIS</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DF">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282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E0">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1,10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E1">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30,52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E2">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0,98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E3">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1,24</w:t>
            </w:r>
          </w:p>
        </w:tc>
      </w:tr>
      <w:tr>
        <w:trPr>
          <w:cantSplit w:val="0"/>
          <w:trHeight w:val="226" w:hRule="atLeast"/>
          <w:tblHeader w:val="0"/>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E4">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Conceição</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E5">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887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E6">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3,47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E7">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34,00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E8">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3,26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E9">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3,71</w:t>
            </w:r>
          </w:p>
        </w:tc>
      </w:tr>
      <w:tr>
        <w:trPr>
          <w:cantSplit w:val="0"/>
          <w:trHeight w:val="226" w:hRule="atLeast"/>
          <w:tblHeader w:val="0"/>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EA">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Cruzeiro</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EB">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EC">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0,08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ED">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34,08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EE">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0,05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EF">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0,13</w:t>
            </w:r>
          </w:p>
        </w:tc>
      </w:tr>
      <w:tr>
        <w:trPr>
          <w:cantSplit w:val="0"/>
          <w:trHeight w:val="226" w:hRule="atLeast"/>
          <w:tblHeader w:val="0"/>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F0">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Gabriela</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F1">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696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F2">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2,73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F3">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36,81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F4">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2,53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F5">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2,93</w:t>
            </w:r>
          </w:p>
        </w:tc>
      </w:tr>
      <w:tr>
        <w:trPr>
          <w:cantSplit w:val="0"/>
          <w:trHeight w:val="226" w:hRule="atLeast"/>
          <w:tblHeader w:val="0"/>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F6">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Gov. João Durval Carneiro</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F7">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152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F8">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0,60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F9">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37,40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FA">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0,51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FB">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0,70</w:t>
            </w:r>
          </w:p>
        </w:tc>
      </w:tr>
      <w:tr>
        <w:trPr>
          <w:cantSplit w:val="0"/>
          <w:trHeight w:val="226" w:hRule="atLeast"/>
          <w:tblHeader w:val="0"/>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FC">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Humildes</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FD">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850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FE">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3,33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AFF">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40,73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00">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3,12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01">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3,56</w:t>
            </w:r>
          </w:p>
        </w:tc>
      </w:tr>
      <w:tr>
        <w:trPr>
          <w:cantSplit w:val="0"/>
          <w:trHeight w:val="226" w:hRule="atLeast"/>
          <w:tblHeader w:val="0"/>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02">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Jaguara</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03">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102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04">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0,40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05">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41,13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06">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0,33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07">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0,48</w:t>
            </w:r>
          </w:p>
        </w:tc>
      </w:tr>
      <w:tr>
        <w:trPr>
          <w:cantSplit w:val="0"/>
          <w:trHeight w:val="226" w:hRule="atLeast"/>
          <w:tblHeader w:val="0"/>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08">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Jaíba</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09">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191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0A">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0,75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0B">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41,88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0C">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0,65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0D">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0,86</w:t>
            </w:r>
          </w:p>
        </w:tc>
      </w:tr>
      <w:tr>
        <w:trPr>
          <w:cantSplit w:val="0"/>
          <w:trHeight w:val="226" w:hRule="atLeast"/>
          <w:tblHeader w:val="0"/>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0E">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Jardim Acácia</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0F">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328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10">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1,28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11">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43,16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12">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1,15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13">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1,43</w:t>
            </w:r>
          </w:p>
        </w:tc>
      </w:tr>
      <w:tr>
        <w:trPr>
          <w:cantSplit w:val="0"/>
          <w:trHeight w:val="226" w:hRule="atLeast"/>
          <w:tblHeader w:val="0"/>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14">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Jardim Cruzeiro</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15">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752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16">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2,95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17">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46,11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18">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2,75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19">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3,16</w:t>
            </w:r>
          </w:p>
        </w:tc>
      </w:tr>
      <w:tr>
        <w:trPr>
          <w:cantSplit w:val="0"/>
          <w:trHeight w:val="226" w:hRule="atLeast"/>
          <w:tblHeader w:val="0"/>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1A">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Lagoa Grande</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1B">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145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1C">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0,57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1D">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46,68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1E">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0,48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1F">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0,67</w:t>
            </w:r>
          </w:p>
        </w:tc>
      </w:tr>
      <w:tr>
        <w:trPr>
          <w:cantSplit w:val="0"/>
          <w:trHeight w:val="226" w:hRule="atLeast"/>
          <w:tblHeader w:val="0"/>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20">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Lagoa Salgada</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21">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134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22">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0,52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23">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47,20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24">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0,44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25">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0,62</w:t>
            </w:r>
          </w:p>
        </w:tc>
      </w:tr>
      <w:tr>
        <w:trPr>
          <w:cantSplit w:val="0"/>
          <w:trHeight w:val="226" w:hRule="atLeast"/>
          <w:tblHeader w:val="0"/>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26">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Limoeiro</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27">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152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28">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0,60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29">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47,80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2A">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0,51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2B">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0,70</w:t>
            </w:r>
          </w:p>
        </w:tc>
      </w:tr>
      <w:tr>
        <w:trPr>
          <w:cantSplit w:val="0"/>
          <w:trHeight w:val="226" w:hRule="atLeast"/>
          <w:tblHeader w:val="0"/>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2C">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Mangabeira</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2D">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1232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2E">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4,83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2F">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52,62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30">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4,57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31">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5,10</w:t>
            </w:r>
          </w:p>
        </w:tc>
      </w:tr>
      <w:tr>
        <w:trPr>
          <w:cantSplit w:val="0"/>
          <w:trHeight w:val="226" w:hRule="atLeast"/>
          <w:tblHeader w:val="0"/>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32">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Maria Quitéria</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33">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953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34">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3,73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35">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56,36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36">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3,51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37">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3,97</w:t>
            </w:r>
          </w:p>
        </w:tc>
      </w:tr>
      <w:tr>
        <w:trPr>
          <w:cantSplit w:val="0"/>
          <w:trHeight w:val="226" w:hRule="atLeast"/>
          <w:tblHeader w:val="0"/>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38">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Matinha</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39">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465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3A">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1,82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3B">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58,18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3C">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1,66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3D">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1,99</w:t>
            </w:r>
          </w:p>
        </w:tc>
      </w:tr>
      <w:tr>
        <w:trPr>
          <w:cantSplit w:val="0"/>
          <w:trHeight w:val="226" w:hRule="atLeast"/>
          <w:tblHeader w:val="0"/>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3E">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Muchila</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3F">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1050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40">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4,11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41">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62,29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42">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3,88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43">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4,36</w:t>
            </w:r>
          </w:p>
        </w:tc>
      </w:tr>
      <w:tr>
        <w:trPr>
          <w:cantSplit w:val="0"/>
          <w:trHeight w:val="226" w:hRule="atLeast"/>
          <w:tblHeader w:val="0"/>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44">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Nova Esperança</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45">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112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46">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0,44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47">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62,73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48">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0,36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49">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0,53</w:t>
            </w:r>
          </w:p>
        </w:tc>
      </w:tr>
      <w:tr>
        <w:trPr>
          <w:cantSplit w:val="0"/>
          <w:trHeight w:val="226" w:hRule="atLeast"/>
          <w:tblHeader w:val="0"/>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4A">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Novo Horizonte</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4B">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198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4C">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0,78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4D">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63,51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4E">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0,68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4F">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0,89</w:t>
            </w:r>
          </w:p>
        </w:tc>
      </w:tr>
      <w:tr>
        <w:trPr>
          <w:cantSplit w:val="0"/>
          <w:trHeight w:val="226" w:hRule="atLeast"/>
          <w:tblHeader w:val="0"/>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50">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Olhos D’agua</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51">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141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52">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0,55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53">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64,06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54">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0,47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55">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0,65</w:t>
            </w:r>
          </w:p>
        </w:tc>
      </w:tr>
      <w:tr>
        <w:trPr>
          <w:cantSplit w:val="0"/>
          <w:trHeight w:val="226" w:hRule="atLeast"/>
          <w:tblHeader w:val="0"/>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56">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Pampalona</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57">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413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58">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1,62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59">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65,68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5A">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1,47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5B">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1,78</w:t>
            </w:r>
          </w:p>
        </w:tc>
      </w:tr>
      <w:tr>
        <w:trPr>
          <w:cantSplit w:val="0"/>
          <w:trHeight w:val="226" w:hRule="atLeast"/>
          <w:tblHeader w:val="0"/>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5C">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Papagaio</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5D">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406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5E">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1,59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5F">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67,27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60">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1,44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61">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1,75</w:t>
            </w:r>
          </w:p>
        </w:tc>
      </w:tr>
      <w:tr>
        <w:trPr>
          <w:cantSplit w:val="0"/>
          <w:trHeight w:val="226" w:hRule="atLeast"/>
          <w:tblHeader w:val="0"/>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62">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Parque Getúlio Vargas</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63">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247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64">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0,97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65">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68,23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66">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0,85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67">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1,10</w:t>
            </w:r>
          </w:p>
        </w:tc>
      </w:tr>
      <w:tr>
        <w:trPr>
          <w:cantSplit w:val="0"/>
          <w:trHeight w:val="226" w:hRule="atLeast"/>
          <w:tblHeader w:val="0"/>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68">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Parque Ipê</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69">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678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6A">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2,66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6B">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70,89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6C">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2,47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6D">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2,86</w:t>
            </w:r>
          </w:p>
        </w:tc>
      </w:tr>
      <w:tr>
        <w:trPr>
          <w:cantSplit w:val="0"/>
          <w:trHeight w:val="226" w:hRule="atLeast"/>
          <w:tblHeader w:val="0"/>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6E">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Pedra do Descanso</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6F">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446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70">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1,75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71">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72,64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72">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1,59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73">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1,92</w:t>
            </w:r>
          </w:p>
        </w:tc>
      </w:tr>
      <w:tr>
        <w:trPr>
          <w:cantSplit w:val="0"/>
          <w:trHeight w:val="226" w:hRule="atLeast"/>
          <w:tblHeader w:val="0"/>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74">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Ponto Central</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75">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440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76">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1,72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77">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74,36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78">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1,57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79">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1,89</w:t>
            </w:r>
          </w:p>
        </w:tc>
      </w:tr>
      <w:tr>
        <w:trPr>
          <w:cantSplit w:val="0"/>
          <w:trHeight w:val="226" w:hRule="atLeast"/>
          <w:tblHeader w:val="0"/>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7A">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Queimadinha</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7B">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904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7C">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3,54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7D">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77,90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7E">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3,32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7F">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3,77</w:t>
            </w:r>
          </w:p>
        </w:tc>
      </w:tr>
      <w:tr>
        <w:trPr>
          <w:cantSplit w:val="0"/>
          <w:trHeight w:val="226" w:hRule="atLeast"/>
          <w:tblHeader w:val="0"/>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80">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Rua Nova</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81">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601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82">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2,35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83">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80,25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84">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2,18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85">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2,55</w:t>
            </w:r>
          </w:p>
        </w:tc>
      </w:tr>
      <w:tr>
        <w:trPr>
          <w:cantSplit w:val="0"/>
          <w:trHeight w:val="226" w:hRule="atLeast"/>
          <w:tblHeader w:val="0"/>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86">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Santa Mônica</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87">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481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88">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1,88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89">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82,14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8A">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1,72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8B">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2,06</w:t>
            </w:r>
          </w:p>
        </w:tc>
      </w:tr>
      <w:tr>
        <w:trPr>
          <w:cantSplit w:val="0"/>
          <w:trHeight w:val="226" w:hRule="atLeast"/>
          <w:tblHeader w:val="0"/>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8C">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Santo Antônio dos Prazeres</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8D">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497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8E">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1,95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8F">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84,09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90">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1,78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91">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2,12</w:t>
            </w:r>
          </w:p>
        </w:tc>
      </w:tr>
      <w:tr>
        <w:trPr>
          <w:cantSplit w:val="0"/>
          <w:trHeight w:val="226" w:hRule="atLeast"/>
          <w:tblHeader w:val="0"/>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92">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São João</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93">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225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94">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0,88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95">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84,97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96">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0,77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97">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1,00</w:t>
            </w:r>
          </w:p>
        </w:tc>
      </w:tr>
      <w:tr>
        <w:trPr>
          <w:cantSplit w:val="0"/>
          <w:trHeight w:val="226" w:hRule="atLeast"/>
          <w:tblHeader w:val="0"/>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98">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Serraria Brasil</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99">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188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9A">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0,74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9B">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85,70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9C">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0,64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9D">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0,85</w:t>
            </w:r>
          </w:p>
        </w:tc>
      </w:tr>
      <w:tr>
        <w:trPr>
          <w:cantSplit w:val="0"/>
          <w:trHeight w:val="226" w:hRule="atLeast"/>
          <w:tblHeader w:val="0"/>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9E">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SIM</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9F">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363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A0">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1,42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A1">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87,12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A2">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1,28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A3">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1,57</w:t>
            </w:r>
          </w:p>
        </w:tc>
      </w:tr>
      <w:tr>
        <w:trPr>
          <w:cantSplit w:val="0"/>
          <w:trHeight w:val="226" w:hRule="atLeast"/>
          <w:tblHeader w:val="0"/>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A4">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Sobradinho</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A5">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488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A6">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1,91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A7">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89,04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A8">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1,75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A9">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2,09</w:t>
            </w:r>
          </w:p>
        </w:tc>
      </w:tr>
      <w:tr>
        <w:trPr>
          <w:cantSplit w:val="0"/>
          <w:trHeight w:val="226" w:hRule="atLeast"/>
          <w:tblHeader w:val="0"/>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AA">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Subaé</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AB">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301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AC">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1,18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AD">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90,22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AE">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1,05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AF">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1,32</w:t>
            </w:r>
          </w:p>
        </w:tc>
      </w:tr>
      <w:tr>
        <w:trPr>
          <w:cantSplit w:val="0"/>
          <w:trHeight w:val="226" w:hRule="atLeast"/>
          <w:tblHeader w:val="0"/>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B0">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Tiquaruçu</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B1">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227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B2">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0,89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B3">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91,10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B4">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0,78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B5">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1,01</w:t>
            </w:r>
          </w:p>
        </w:tc>
      </w:tr>
      <w:tr>
        <w:trPr>
          <w:cantSplit w:val="0"/>
          <w:trHeight w:val="226" w:hRule="atLeast"/>
          <w:tblHeader w:val="0"/>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B6">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Tomba</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B7">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2271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B8">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8,90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B9">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100,00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BA">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8,55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BB">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9,25</w:t>
            </w:r>
          </w:p>
        </w:tc>
      </w:tr>
      <w:tr>
        <w:trPr>
          <w:cantSplit w:val="0"/>
          <w:trHeight w:val="237" w:hRule="atLeast"/>
          <w:tblHeader w:val="0"/>
        </w:trPr>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BBC">
            <w:pPr>
              <w:spacing w:after="0" w:line="240" w:lineRule="auto"/>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Total</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BBD">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25530</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BBE">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100,00</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BBF">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100,00</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BC0">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BC1">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 </w:t>
            </w:r>
          </w:p>
        </w:tc>
      </w:tr>
    </w:tbl>
    <w:p w:rsidR="00000000" w:rsidDel="00000000" w:rsidP="00000000" w:rsidRDefault="00000000" w:rsidRPr="00000000" w14:paraId="00000BC2">
      <w:pPr>
        <w:rPr/>
      </w:pPr>
      <w:r w:rsidDel="00000000" w:rsidR="00000000" w:rsidRPr="00000000">
        <w:rPr>
          <w:rtl w:val="0"/>
        </w:rPr>
      </w:r>
    </w:p>
    <w:p w:rsidR="00000000" w:rsidDel="00000000" w:rsidP="00000000" w:rsidRDefault="00000000" w:rsidRPr="00000000" w14:paraId="00000BC3">
      <w:pPr>
        <w:rPr/>
        <w:sectPr>
          <w:type w:val="nextPage"/>
          <w:pgSz w:h="16838" w:w="11906" w:orient="portrait"/>
          <w:pgMar w:bottom="1418" w:top="1418" w:left="1701" w:right="1701" w:header="397" w:footer="680"/>
          <w:titlePg w:val="1"/>
        </w:sectPr>
      </w:pPr>
      <w:r w:rsidDel="00000000" w:rsidR="00000000" w:rsidRPr="00000000">
        <w:rPr>
          <w:rtl w:val="0"/>
        </w:rPr>
      </w:r>
    </w:p>
    <w:p w:rsidR="00000000" w:rsidDel="00000000" w:rsidP="00000000" w:rsidRDefault="00000000" w:rsidRPr="00000000" w14:paraId="00000B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15"/>
        <w:tblW w:w="14001.999999999998" w:type="dxa"/>
        <w:jc w:val="left"/>
        <w:tblLayout w:type="fixed"/>
        <w:tblLook w:val="0400"/>
      </w:tblPr>
      <w:tblGrid>
        <w:gridCol w:w="3857"/>
        <w:gridCol w:w="1801"/>
        <w:gridCol w:w="725"/>
        <w:gridCol w:w="829"/>
        <w:gridCol w:w="613"/>
        <w:gridCol w:w="829"/>
        <w:gridCol w:w="613"/>
        <w:gridCol w:w="829"/>
        <w:gridCol w:w="860"/>
        <w:gridCol w:w="1599"/>
        <w:gridCol w:w="596"/>
        <w:gridCol w:w="851"/>
        <w:tblGridChange w:id="0">
          <w:tblGrid>
            <w:gridCol w:w="3857"/>
            <w:gridCol w:w="1801"/>
            <w:gridCol w:w="725"/>
            <w:gridCol w:w="829"/>
            <w:gridCol w:w="613"/>
            <w:gridCol w:w="829"/>
            <w:gridCol w:w="613"/>
            <w:gridCol w:w="829"/>
            <w:gridCol w:w="860"/>
            <w:gridCol w:w="1599"/>
            <w:gridCol w:w="596"/>
            <w:gridCol w:w="851"/>
          </w:tblGrid>
        </w:tblGridChange>
      </w:tblGrid>
      <w:tr>
        <w:trPr>
          <w:cantSplit w:val="0"/>
          <w:trHeight w:val="227"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BC5">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Variáveis</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BC6">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Casos Notificados</w:t>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BC7">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Não tratado</w:t>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BC9">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Vacina</w:t>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BCB">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Soro e Vacina</w:t>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BCD">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Esquema de reexposição</w:t>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BCF">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Pré exposição</w:t>
            </w:r>
          </w:p>
        </w:tc>
      </w:tr>
      <w:tr>
        <w:trPr>
          <w:cantSplit w:val="0"/>
          <w:trHeight w:val="227" w:hRule="atLeast"/>
          <w:tblHeader w:val="0"/>
        </w:trPr>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BD1">
            <w:pPr>
              <w:spacing w:after="0" w:line="240" w:lineRule="auto"/>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Tipo de exposição</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BD2">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n</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BD3">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n</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BD4">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BD5">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n</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BD6">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BD7">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n</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BD8">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BD9">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n</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BDA">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BDB">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n</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BDC">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w:t>
            </w:r>
          </w:p>
        </w:tc>
      </w:tr>
      <w:tr>
        <w:trPr>
          <w:cantSplit w:val="0"/>
          <w:trHeight w:val="227" w:hRule="atLeast"/>
          <w:tblHeader w:val="0"/>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DD">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Contato Indireto</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DE">
            <w:pPr>
              <w:spacing w:after="0" w:line="240" w:lineRule="auto"/>
              <w:jc w:val="right"/>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25378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DF">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75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E0">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66,96%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E1">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E2">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18,75%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E3">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E4">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11,61%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E5">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E6">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0,00%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E7">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E8">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2,68%</w:t>
            </w:r>
          </w:p>
        </w:tc>
      </w:tr>
      <w:tr>
        <w:trPr>
          <w:cantSplit w:val="0"/>
          <w:trHeight w:val="227"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BE9">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Arranhadura</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EA">
            <w:pPr>
              <w:spacing w:after="0" w:line="240" w:lineRule="auto"/>
              <w:jc w:val="right"/>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25386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EB">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1235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EC">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74,85%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ED">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342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EE">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20,73%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EF">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61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F0">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3,70%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F1">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F2">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0,06%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F3">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F4">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0,67%</w:t>
            </w:r>
          </w:p>
        </w:tc>
      </w:tr>
      <w:tr>
        <w:trPr>
          <w:cantSplit w:val="0"/>
          <w:trHeight w:val="227"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BF5">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Lambedura</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F6">
            <w:pPr>
              <w:spacing w:after="0" w:line="240" w:lineRule="auto"/>
              <w:jc w:val="right"/>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25382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F7">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121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F8">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57,35%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F9">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73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FA">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34,60%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FB">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FC">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7,11%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FD">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FE">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0,00%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BFF">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00">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0,95%</w:t>
            </w:r>
          </w:p>
        </w:tc>
      </w:tr>
      <w:tr>
        <w:trPr>
          <w:cantSplit w:val="0"/>
          <w:trHeight w:val="227"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C01">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Mordedura</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02">
            <w:pPr>
              <w:spacing w:after="0" w:line="240" w:lineRule="auto"/>
              <w:jc w:val="right"/>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25427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03">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18317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04">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76,15%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05">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4264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06">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17,73%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07">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1340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08">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5,57%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09">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0A">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0,05%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0B">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123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0C">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0,51%</w:t>
            </w:r>
          </w:p>
        </w:tc>
      </w:tr>
      <w:tr>
        <w:trPr>
          <w:cantSplit w:val="0"/>
          <w:trHeight w:val="227"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C0D">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Outro</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0E">
            <w:pPr>
              <w:spacing w:after="0" w:line="240" w:lineRule="auto"/>
              <w:jc w:val="right"/>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25372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0F">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55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10">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78,57%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11">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12">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15,71%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13">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14">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4,29%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15">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16">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0,00%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17">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18">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1,43%</w:t>
            </w:r>
          </w:p>
        </w:tc>
      </w:tr>
      <w:tr>
        <w:trPr>
          <w:cantSplit w:val="0"/>
          <w:trHeight w:val="227" w:hRule="atLeast"/>
          <w:tblHeader w:val="0"/>
        </w:trPr>
        <w:tc>
          <w:tcPr>
            <w:tcBorders>
              <w:top w:color="000000" w:space="0" w:sz="4" w:val="single"/>
              <w:left w:color="000000" w:space="0" w:sz="0" w:val="nil"/>
              <w:bottom w:color="000000" w:space="0" w:sz="8" w:val="single"/>
              <w:right w:color="000000" w:space="0" w:sz="0" w:val="nil"/>
            </w:tcBorders>
            <w:shd w:fill="ffffff" w:val="clear"/>
            <w:vAlign w:val="center"/>
          </w:tcPr>
          <w:p w:rsidR="00000000" w:rsidDel="00000000" w:rsidP="00000000" w:rsidRDefault="00000000" w:rsidRPr="00000000" w14:paraId="00000C19">
            <w:pPr>
              <w:spacing w:after="0" w:line="240" w:lineRule="auto"/>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Localização do Ferimento</w:t>
            </w:r>
          </w:p>
        </w:tc>
        <w:tc>
          <w:tcPr>
            <w:tcBorders>
              <w:top w:color="000000" w:space="0" w:sz="4" w:val="single"/>
              <w:left w:color="000000" w:space="0" w:sz="0" w:val="nil"/>
              <w:bottom w:color="000000" w:space="0" w:sz="8" w:val="single"/>
              <w:right w:color="000000" w:space="0" w:sz="0" w:val="nil"/>
            </w:tcBorders>
            <w:shd w:fill="ffffff" w:val="clear"/>
            <w:vAlign w:val="center"/>
          </w:tcPr>
          <w:p w:rsidR="00000000" w:rsidDel="00000000" w:rsidP="00000000" w:rsidRDefault="00000000" w:rsidRPr="00000000" w14:paraId="00000C1A">
            <w:pPr>
              <w:spacing w:after="0" w:line="240" w:lineRule="auto"/>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C1B">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C1C">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C1D">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C1E">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C1F">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C20">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C21">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C22">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C23">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C24">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 </w:t>
            </w:r>
          </w:p>
        </w:tc>
      </w:tr>
      <w:tr>
        <w:trPr>
          <w:cantSplit w:val="0"/>
          <w:trHeight w:val="227"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C25">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Mucosa</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26">
            <w:pPr>
              <w:spacing w:after="0" w:line="240" w:lineRule="auto"/>
              <w:jc w:val="right"/>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25256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27">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83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28">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68,03%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29">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2A">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22,13%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2B">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2C">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9,02%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2D">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2E">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0,00%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2F">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30">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0,82%</w:t>
            </w:r>
          </w:p>
        </w:tc>
      </w:tr>
      <w:tr>
        <w:trPr>
          <w:cantSplit w:val="0"/>
          <w:trHeight w:val="227"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C31">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Cabeça/ Pescoço</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32">
            <w:pPr>
              <w:spacing w:after="0" w:line="240" w:lineRule="auto"/>
              <w:jc w:val="right"/>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25252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33">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930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34">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58,94%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35">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535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36">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33,90%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37">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100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38">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6,34%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39">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3A">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0,13%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3B">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3C">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0,70%</w:t>
            </w:r>
          </w:p>
        </w:tc>
      </w:tr>
      <w:tr>
        <w:trPr>
          <w:cantSplit w:val="0"/>
          <w:trHeight w:val="227"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C3D">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Mãos/ Pés</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3E">
            <w:pPr>
              <w:spacing w:after="0" w:line="240" w:lineRule="auto"/>
              <w:jc w:val="right"/>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25266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3F">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4572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40">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64,39%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41">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1753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42">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24,69%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43">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739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44">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10,41%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45">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46">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0,07%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47">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31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48">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0,44%</w:t>
            </w:r>
          </w:p>
        </w:tc>
      </w:tr>
      <w:tr>
        <w:trPr>
          <w:cantSplit w:val="0"/>
          <w:trHeight w:val="227"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C49">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Tronco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4A">
            <w:pPr>
              <w:spacing w:after="0" w:line="240" w:lineRule="auto"/>
              <w:jc w:val="right"/>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25250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4B">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1070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4C">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78,68%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4D">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214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4E">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15,74%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4F">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62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50">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4,56%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51">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52">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0,15%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53">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54">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0,88%</w:t>
            </w:r>
          </w:p>
        </w:tc>
      </w:tr>
      <w:tr>
        <w:trPr>
          <w:cantSplit w:val="0"/>
          <w:trHeight w:val="227"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C55">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Membros Superiores</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56">
            <w:pPr>
              <w:spacing w:after="0" w:line="240" w:lineRule="auto"/>
              <w:jc w:val="right"/>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25264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57">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3111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58">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81,21%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59">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539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5A">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14,07%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5B">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152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5C">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3,97%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5D">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5E">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0,00%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5F">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60">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0,76%</w:t>
            </w:r>
          </w:p>
        </w:tc>
      </w:tr>
      <w:tr>
        <w:trPr>
          <w:cantSplit w:val="0"/>
          <w:trHeight w:val="227"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C61">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Membros Inferiores</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62">
            <w:pPr>
              <w:spacing w:after="0" w:line="240" w:lineRule="auto"/>
              <w:jc w:val="right"/>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25268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63">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10783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64">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82,63%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65">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1869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66">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14,32%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67">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332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68">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2,54%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69">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6A">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0,03%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6B">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62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6C">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0,48%</w:t>
            </w:r>
          </w:p>
        </w:tc>
      </w:tr>
      <w:tr>
        <w:trPr>
          <w:cantSplit w:val="0"/>
          <w:trHeight w:val="227" w:hRule="atLeast"/>
          <w:tblHeader w:val="0"/>
        </w:trPr>
        <w:tc>
          <w:tcPr>
            <w:tcBorders>
              <w:top w:color="000000" w:space="0" w:sz="4" w:val="single"/>
              <w:left w:color="000000" w:space="0" w:sz="0" w:val="nil"/>
              <w:bottom w:color="000000" w:space="0" w:sz="8" w:val="single"/>
              <w:right w:color="000000" w:space="0" w:sz="0" w:val="nil"/>
            </w:tcBorders>
            <w:shd w:fill="ffffff" w:val="clear"/>
            <w:vAlign w:val="center"/>
          </w:tcPr>
          <w:p w:rsidR="00000000" w:rsidDel="00000000" w:rsidP="00000000" w:rsidRDefault="00000000" w:rsidRPr="00000000" w14:paraId="00000C6D">
            <w:pPr>
              <w:spacing w:after="0" w:line="240" w:lineRule="auto"/>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Ferimento</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C6E">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C6F">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C70">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C71">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C72">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C73">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C74">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C75">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C76">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C77">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C78">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 </w:t>
            </w:r>
          </w:p>
        </w:tc>
      </w:tr>
      <w:tr>
        <w:trPr>
          <w:cantSplit w:val="0"/>
          <w:trHeight w:val="227"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C79">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Múltiplo</w:t>
            </w:r>
          </w:p>
        </w:tc>
        <w:tc>
          <w:tcPr>
            <w:vMerge w:val="restart"/>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C7A">
            <w:pPr>
              <w:spacing w:after="0" w:line="240" w:lineRule="auto"/>
              <w:jc w:val="right"/>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24981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7B">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5642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7C">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76,08%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7D">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1421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7E">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19,16%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7F">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310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80">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4,18%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81">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82">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0,05%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83">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39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84">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0,53%</w:t>
            </w:r>
          </w:p>
        </w:tc>
      </w:tr>
      <w:tr>
        <w:trPr>
          <w:cantSplit w:val="0"/>
          <w:trHeight w:val="227"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C85">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Único</w:t>
            </w:r>
          </w:p>
        </w:tc>
        <w:tc>
          <w:tcPr>
            <w:vMerge w:val="continue"/>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C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87">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13439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88">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76,51%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89">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3097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8A">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17,63%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8B">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931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8C">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5,30%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8D">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8E">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0,04%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8F">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91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90">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0,52%</w:t>
            </w:r>
          </w:p>
        </w:tc>
      </w:tr>
      <w:tr>
        <w:trPr>
          <w:cantSplit w:val="0"/>
          <w:trHeight w:val="227" w:hRule="atLeast"/>
          <w:tblHeader w:val="0"/>
        </w:trPr>
        <w:tc>
          <w:tcPr>
            <w:tcBorders>
              <w:top w:color="000000" w:space="0" w:sz="4" w:val="single"/>
              <w:left w:color="000000" w:space="0" w:sz="0" w:val="nil"/>
              <w:bottom w:color="000000" w:space="0" w:sz="8" w:val="single"/>
              <w:right w:color="000000" w:space="0" w:sz="0" w:val="nil"/>
            </w:tcBorders>
            <w:shd w:fill="ffffff" w:val="clear"/>
            <w:vAlign w:val="center"/>
          </w:tcPr>
          <w:p w:rsidR="00000000" w:rsidDel="00000000" w:rsidP="00000000" w:rsidRDefault="00000000" w:rsidRPr="00000000" w14:paraId="00000C91">
            <w:pPr>
              <w:spacing w:after="0" w:line="240" w:lineRule="auto"/>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Tipo de Ferimento</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C92">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C93">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C94">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C95">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C96">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C97">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C98">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C99">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C9A">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C9B">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C9C">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 </w:t>
            </w:r>
          </w:p>
        </w:tc>
      </w:tr>
      <w:tr>
        <w:trPr>
          <w:cantSplit w:val="0"/>
          <w:trHeight w:val="227" w:hRule="atLeast"/>
          <w:tblHeader w:val="0"/>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9D">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Ferimento profundo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9E">
            <w:pPr>
              <w:spacing w:after="0" w:line="240" w:lineRule="auto"/>
              <w:jc w:val="right"/>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24716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9F">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9396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A0">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77,18%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A1">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2144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A2">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17,61%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A3">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570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A4">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4,68%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A5">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A6">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0,02%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A7">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61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A8">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0,50%</w:t>
            </w:r>
          </w:p>
        </w:tc>
      </w:tr>
      <w:tr>
        <w:trPr>
          <w:cantSplit w:val="0"/>
          <w:trHeight w:val="227" w:hRule="atLeast"/>
          <w:tblHeader w:val="0"/>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A9">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Ferimento superficial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AA">
            <w:pPr>
              <w:spacing w:after="0" w:line="240" w:lineRule="auto"/>
              <w:jc w:val="right"/>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24748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AB">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9561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AC">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77,31%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AD">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2332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AE">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18,86%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AF">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397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B0">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3,21%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B1">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B2">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0,03%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B3">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73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B4">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0,59%</w:t>
            </w:r>
          </w:p>
        </w:tc>
      </w:tr>
      <w:tr>
        <w:trPr>
          <w:cantSplit w:val="0"/>
          <w:trHeight w:val="227" w:hRule="atLeast"/>
          <w:tblHeader w:val="0"/>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B5">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Dilacerante</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B6">
            <w:pPr>
              <w:spacing w:after="0" w:line="240" w:lineRule="auto"/>
              <w:jc w:val="right"/>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24664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B7">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144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B8">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62,34%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B9">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46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BA">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19,91%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BB">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41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BC">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17,75%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BD">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BE">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0,00%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BF">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C0">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0,00%</w:t>
            </w:r>
          </w:p>
        </w:tc>
      </w:tr>
      <w:tr>
        <w:trPr>
          <w:cantSplit w:val="0"/>
          <w:trHeight w:val="227" w:hRule="atLeast"/>
          <w:tblHeader w:val="0"/>
        </w:trPr>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CC1">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Condição do Animal</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CC2">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CC3">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CC4">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CC5">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CC6">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CC7">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CC8">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CC9">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CCA">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CCB">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CCC">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 </w:t>
            </w:r>
          </w:p>
        </w:tc>
      </w:tr>
      <w:tr>
        <w:trPr>
          <w:cantSplit w:val="0"/>
          <w:trHeight w:val="227"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CCD">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Morto desaparecido</w:t>
            </w:r>
          </w:p>
        </w:tc>
        <w:tc>
          <w:tcPr>
            <w:vMerge w:val="restart"/>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CCE">
            <w:pPr>
              <w:spacing w:after="0" w:line="240" w:lineRule="auto"/>
              <w:jc w:val="right"/>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25107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CF">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191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D0">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6,08%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D1">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1943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D2">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61,84%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D3">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993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D4">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31,60%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D5">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D6">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0,13%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D7">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D8">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0,35%</w:t>
            </w:r>
          </w:p>
        </w:tc>
      </w:tr>
      <w:tr>
        <w:trPr>
          <w:cantSplit w:val="0"/>
          <w:trHeight w:val="227"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CD9">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Raivoso</w:t>
            </w:r>
          </w:p>
        </w:tc>
        <w:tc>
          <w:tcPr>
            <w:vMerge w:val="continue"/>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C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DB">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DC">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28,57%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DD">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DE">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47,62%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DF">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E0">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19,05%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E1">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E2">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0,00%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E3">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E4">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4,76%</w:t>
            </w:r>
          </w:p>
        </w:tc>
      </w:tr>
      <w:tr>
        <w:trPr>
          <w:cantSplit w:val="0"/>
          <w:trHeight w:val="227"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CE5">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Sadio</w:t>
            </w:r>
          </w:p>
        </w:tc>
        <w:tc>
          <w:tcPr>
            <w:vMerge w:val="continue"/>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C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E7">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18699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E8">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87,88%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E9">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2372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EA">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11,15%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EB">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102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EC">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0,48%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ED">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EE">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0,01%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EF">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103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F0">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0,48%</w:t>
            </w:r>
          </w:p>
        </w:tc>
      </w:tr>
      <w:tr>
        <w:trPr>
          <w:cantSplit w:val="0"/>
          <w:trHeight w:val="227"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CF1">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Suspeito</w:t>
            </w:r>
          </w:p>
        </w:tc>
        <w:tc>
          <w:tcPr>
            <w:vMerge w:val="continue"/>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C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F3">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181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F4">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27,22%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F5">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206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F6">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30,98%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F7">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268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F8">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40,30%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F9">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FA">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0,60%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FB">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CFC">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0,90%</w:t>
            </w:r>
          </w:p>
        </w:tc>
      </w:tr>
      <w:tr>
        <w:trPr>
          <w:cantSplit w:val="0"/>
          <w:trHeight w:val="227" w:hRule="atLeast"/>
          <w:tblHeader w:val="0"/>
        </w:trPr>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CFD">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Condição final do Animal </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CFE">
            <w:pPr>
              <w:spacing w:after="0" w:line="240" w:lineRule="auto"/>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CFF">
            <w:pPr>
              <w:spacing w:after="0" w:line="240" w:lineRule="auto"/>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D00">
            <w:pPr>
              <w:spacing w:after="0" w:line="240" w:lineRule="auto"/>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D01">
            <w:pPr>
              <w:spacing w:after="0" w:line="240" w:lineRule="auto"/>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D02">
            <w:pPr>
              <w:spacing w:after="0" w:line="240" w:lineRule="auto"/>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D03">
            <w:pPr>
              <w:spacing w:after="0" w:line="240" w:lineRule="auto"/>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D04">
            <w:pPr>
              <w:spacing w:after="0" w:line="240" w:lineRule="auto"/>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D05">
            <w:pPr>
              <w:spacing w:after="0" w:line="240" w:lineRule="auto"/>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D06">
            <w:pPr>
              <w:spacing w:after="0" w:line="240" w:lineRule="auto"/>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D07">
            <w:pPr>
              <w:spacing w:after="0" w:line="240" w:lineRule="auto"/>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D08">
            <w:pPr>
              <w:spacing w:after="0" w:line="240" w:lineRule="auto"/>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 </w:t>
            </w:r>
          </w:p>
        </w:tc>
      </w:tr>
      <w:tr>
        <w:trPr>
          <w:cantSplit w:val="0"/>
          <w:trHeight w:val="227"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D09">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Ignorado</w:t>
            </w:r>
          </w:p>
        </w:tc>
        <w:tc>
          <w:tcPr>
            <w:vMerge w:val="restart"/>
            <w:tcBorders>
              <w:top w:color="000000" w:space="0" w:sz="8" w:val="single"/>
              <w:left w:color="000000" w:space="0" w:sz="0" w:val="nil"/>
              <w:bottom w:color="000000" w:space="0" w:sz="4" w:val="single"/>
              <w:right w:color="000000" w:space="0" w:sz="0" w:val="nil"/>
            </w:tcBorders>
            <w:shd w:fill="ffffff" w:val="clear"/>
            <w:vAlign w:val="center"/>
          </w:tcPr>
          <w:p w:rsidR="00000000" w:rsidDel="00000000" w:rsidP="00000000" w:rsidRDefault="00000000" w:rsidRPr="00000000" w14:paraId="00000D0A">
            <w:pPr>
              <w:spacing w:after="0" w:line="240" w:lineRule="auto"/>
              <w:jc w:val="right"/>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24628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D0B">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124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D0C">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35,94%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D0D">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93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D0E">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26,96%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D0F">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123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D10">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35,65%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D11">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D12">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0,58%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D13">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D14">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0,87%</w:t>
            </w:r>
          </w:p>
        </w:tc>
      </w:tr>
      <w:tr>
        <w:trPr>
          <w:cantSplit w:val="0"/>
          <w:trHeight w:val="227"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D15">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Morto sacrificado em diagnostico</w:t>
            </w:r>
          </w:p>
        </w:tc>
        <w:tc>
          <w:tcPr>
            <w:vMerge w:val="continue"/>
            <w:tcBorders>
              <w:top w:color="000000" w:space="0" w:sz="8" w:val="single"/>
              <w:left w:color="000000" w:space="0" w:sz="0" w:val="nil"/>
              <w:bottom w:color="000000" w:space="0" w:sz="4" w:val="single"/>
              <w:right w:color="000000" w:space="0" w:sz="0" w:val="nil"/>
            </w:tcBorders>
            <w:shd w:fill="ffffff" w:val="clear"/>
            <w:vAlign w:val="center"/>
          </w:tcPr>
          <w:p w:rsidR="00000000" w:rsidDel="00000000" w:rsidP="00000000" w:rsidRDefault="00000000" w:rsidRPr="00000000" w14:paraId="00000D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D17">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55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D18">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2,15%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D19">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1750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D1A">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68,52%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D1B">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728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D1C">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28,50%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D1D">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D1E">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0,23%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D1F">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D20">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0,59%</w:t>
            </w:r>
          </w:p>
        </w:tc>
      </w:tr>
      <w:tr>
        <w:trPr>
          <w:cantSplit w:val="0"/>
          <w:trHeight w:val="227"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D21">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Negativa para raiva clínica</w:t>
            </w:r>
          </w:p>
        </w:tc>
        <w:tc>
          <w:tcPr>
            <w:vMerge w:val="continue"/>
            <w:tcBorders>
              <w:top w:color="000000" w:space="0" w:sz="8" w:val="single"/>
              <w:left w:color="000000" w:space="0" w:sz="0" w:val="nil"/>
              <w:bottom w:color="000000" w:space="0" w:sz="4" w:val="single"/>
              <w:right w:color="000000" w:space="0" w:sz="0" w:val="nil"/>
            </w:tcBorders>
            <w:shd w:fill="ffffff" w:val="clear"/>
            <w:vAlign w:val="center"/>
          </w:tcPr>
          <w:p w:rsidR="00000000" w:rsidDel="00000000" w:rsidP="00000000" w:rsidRDefault="00000000" w:rsidRPr="00000000" w14:paraId="00000D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D23">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18769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D24">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87,48%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D25">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2467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D26">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11,50%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D27">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111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D28">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0,52%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D29">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D2A">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0,01%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D2B">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106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D2C">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0,49%</w:t>
            </w:r>
          </w:p>
        </w:tc>
      </w:tr>
      <w:tr>
        <w:trPr>
          <w:cantSplit w:val="0"/>
          <w:trHeight w:val="227"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D2D">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Negativa para raiva laboratório</w:t>
            </w:r>
          </w:p>
        </w:tc>
        <w:tc>
          <w:tcPr>
            <w:vMerge w:val="continue"/>
            <w:tcBorders>
              <w:top w:color="000000" w:space="0" w:sz="8" w:val="single"/>
              <w:left w:color="000000" w:space="0" w:sz="0" w:val="nil"/>
              <w:bottom w:color="000000" w:space="0" w:sz="4" w:val="single"/>
              <w:right w:color="000000" w:space="0" w:sz="0" w:val="nil"/>
            </w:tcBorders>
            <w:shd w:fill="ffffff" w:val="clear"/>
            <w:vAlign w:val="center"/>
          </w:tcPr>
          <w:p w:rsidR="00000000" w:rsidDel="00000000" w:rsidP="00000000" w:rsidRDefault="00000000" w:rsidRPr="00000000" w14:paraId="00000D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D2F">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65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D30">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31,55%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D31">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129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D32">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62,62%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D33">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D34">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4,37%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D35">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D36">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0,49%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D37">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D38">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0,97%</w:t>
            </w:r>
          </w:p>
        </w:tc>
      </w:tr>
      <w:tr>
        <w:trPr>
          <w:cantSplit w:val="0"/>
          <w:trHeight w:val="227" w:hRule="atLeast"/>
          <w:tblHeader w:val="0"/>
        </w:trPr>
        <w:tc>
          <w:tcPr>
            <w:tcBorders>
              <w:top w:color="000000" w:space="0" w:sz="0" w:val="nil"/>
              <w:left w:color="000000" w:space="0" w:sz="0" w:val="nil"/>
              <w:right w:color="000000" w:space="0" w:sz="0" w:val="nil"/>
            </w:tcBorders>
            <w:shd w:fill="ffffff" w:val="clear"/>
            <w:vAlign w:val="center"/>
          </w:tcPr>
          <w:p w:rsidR="00000000" w:rsidDel="00000000" w:rsidP="00000000" w:rsidRDefault="00000000" w:rsidRPr="00000000" w14:paraId="00000D39">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Positivo para raiva clínica</w:t>
            </w:r>
          </w:p>
        </w:tc>
        <w:tc>
          <w:tcPr>
            <w:vMerge w:val="continue"/>
            <w:tcBorders>
              <w:top w:color="000000" w:space="0" w:sz="8" w:val="single"/>
              <w:left w:color="000000" w:space="0" w:sz="0" w:val="nil"/>
              <w:bottom w:color="000000" w:space="0" w:sz="4" w:val="single"/>
              <w:right w:color="000000" w:space="0" w:sz="0" w:val="nil"/>
            </w:tcBorders>
            <w:shd w:fill="ffffff" w:val="clear"/>
            <w:vAlign w:val="center"/>
          </w:tcPr>
          <w:p w:rsidR="00000000" w:rsidDel="00000000" w:rsidP="00000000" w:rsidRDefault="00000000" w:rsidRPr="00000000" w14:paraId="00000D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tcBorders>
              <w:top w:color="000000" w:space="0" w:sz="0" w:val="nil"/>
              <w:left w:color="000000" w:space="0" w:sz="0" w:val="nil"/>
              <w:right w:color="000000" w:space="0" w:sz="0" w:val="nil"/>
            </w:tcBorders>
            <w:shd w:fill="ffffff" w:val="clear"/>
            <w:vAlign w:val="bottom"/>
          </w:tcPr>
          <w:p w:rsidR="00000000" w:rsidDel="00000000" w:rsidP="00000000" w:rsidRDefault="00000000" w:rsidRPr="00000000" w14:paraId="00000D3B">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22</w:t>
            </w:r>
          </w:p>
        </w:tc>
        <w:tc>
          <w:tcPr>
            <w:tcBorders>
              <w:top w:color="000000" w:space="0" w:sz="0" w:val="nil"/>
              <w:left w:color="000000" w:space="0" w:sz="0" w:val="nil"/>
              <w:right w:color="000000" w:space="0" w:sz="0" w:val="nil"/>
            </w:tcBorders>
            <w:shd w:fill="ffffff" w:val="clear"/>
            <w:vAlign w:val="bottom"/>
          </w:tcPr>
          <w:p w:rsidR="00000000" w:rsidDel="00000000" w:rsidP="00000000" w:rsidRDefault="00000000" w:rsidRPr="00000000" w14:paraId="00000D3C">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64,71%</w:t>
            </w:r>
          </w:p>
        </w:tc>
        <w:tc>
          <w:tcPr>
            <w:tcBorders>
              <w:top w:color="000000" w:space="0" w:sz="0" w:val="nil"/>
              <w:left w:color="000000" w:space="0" w:sz="0" w:val="nil"/>
              <w:right w:color="000000" w:space="0" w:sz="0" w:val="nil"/>
            </w:tcBorders>
            <w:shd w:fill="ffffff" w:val="clear"/>
            <w:vAlign w:val="bottom"/>
          </w:tcPr>
          <w:p w:rsidR="00000000" w:rsidDel="00000000" w:rsidP="00000000" w:rsidRDefault="00000000" w:rsidRPr="00000000" w14:paraId="00000D3D">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6</w:t>
            </w:r>
          </w:p>
        </w:tc>
        <w:tc>
          <w:tcPr>
            <w:tcBorders>
              <w:top w:color="000000" w:space="0" w:sz="0" w:val="nil"/>
              <w:left w:color="000000" w:space="0" w:sz="0" w:val="nil"/>
              <w:right w:color="000000" w:space="0" w:sz="0" w:val="nil"/>
            </w:tcBorders>
            <w:shd w:fill="ffffff" w:val="clear"/>
            <w:vAlign w:val="bottom"/>
          </w:tcPr>
          <w:p w:rsidR="00000000" w:rsidDel="00000000" w:rsidP="00000000" w:rsidRDefault="00000000" w:rsidRPr="00000000" w14:paraId="00000D3E">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17,65%</w:t>
            </w:r>
          </w:p>
        </w:tc>
        <w:tc>
          <w:tcPr>
            <w:tcBorders>
              <w:top w:color="000000" w:space="0" w:sz="0" w:val="nil"/>
              <w:left w:color="000000" w:space="0" w:sz="0" w:val="nil"/>
              <w:right w:color="000000" w:space="0" w:sz="0" w:val="nil"/>
            </w:tcBorders>
            <w:shd w:fill="ffffff" w:val="clear"/>
            <w:vAlign w:val="bottom"/>
          </w:tcPr>
          <w:p w:rsidR="00000000" w:rsidDel="00000000" w:rsidP="00000000" w:rsidRDefault="00000000" w:rsidRPr="00000000" w14:paraId="00000D3F">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6</w:t>
            </w:r>
          </w:p>
        </w:tc>
        <w:tc>
          <w:tcPr>
            <w:tcBorders>
              <w:top w:color="000000" w:space="0" w:sz="0" w:val="nil"/>
              <w:left w:color="000000" w:space="0" w:sz="0" w:val="nil"/>
              <w:right w:color="000000" w:space="0" w:sz="0" w:val="nil"/>
            </w:tcBorders>
            <w:shd w:fill="ffffff" w:val="clear"/>
            <w:vAlign w:val="bottom"/>
          </w:tcPr>
          <w:p w:rsidR="00000000" w:rsidDel="00000000" w:rsidP="00000000" w:rsidRDefault="00000000" w:rsidRPr="00000000" w14:paraId="00000D40">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17,65%</w:t>
            </w:r>
          </w:p>
        </w:tc>
        <w:tc>
          <w:tcPr>
            <w:tcBorders>
              <w:top w:color="000000" w:space="0" w:sz="0" w:val="nil"/>
              <w:left w:color="000000" w:space="0" w:sz="0" w:val="nil"/>
              <w:right w:color="000000" w:space="0" w:sz="0" w:val="nil"/>
            </w:tcBorders>
            <w:shd w:fill="ffffff" w:val="clear"/>
            <w:vAlign w:val="bottom"/>
          </w:tcPr>
          <w:p w:rsidR="00000000" w:rsidDel="00000000" w:rsidP="00000000" w:rsidRDefault="00000000" w:rsidRPr="00000000" w14:paraId="00000D41">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w:t>
            </w:r>
          </w:p>
        </w:tc>
        <w:tc>
          <w:tcPr>
            <w:tcBorders>
              <w:top w:color="000000" w:space="0" w:sz="0" w:val="nil"/>
              <w:left w:color="000000" w:space="0" w:sz="0" w:val="nil"/>
              <w:right w:color="000000" w:space="0" w:sz="0" w:val="nil"/>
            </w:tcBorders>
            <w:shd w:fill="ffffff" w:val="clear"/>
            <w:vAlign w:val="bottom"/>
          </w:tcPr>
          <w:p w:rsidR="00000000" w:rsidDel="00000000" w:rsidP="00000000" w:rsidRDefault="00000000" w:rsidRPr="00000000" w14:paraId="00000D42">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0,00%</w:t>
            </w:r>
          </w:p>
        </w:tc>
        <w:tc>
          <w:tcPr>
            <w:tcBorders>
              <w:top w:color="000000" w:space="0" w:sz="0" w:val="nil"/>
              <w:left w:color="000000" w:space="0" w:sz="0" w:val="nil"/>
              <w:right w:color="000000" w:space="0" w:sz="0" w:val="nil"/>
            </w:tcBorders>
            <w:shd w:fill="ffffff" w:val="clear"/>
            <w:vAlign w:val="bottom"/>
          </w:tcPr>
          <w:p w:rsidR="00000000" w:rsidDel="00000000" w:rsidP="00000000" w:rsidRDefault="00000000" w:rsidRPr="00000000" w14:paraId="00000D43">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w:t>
            </w:r>
          </w:p>
        </w:tc>
        <w:tc>
          <w:tcPr>
            <w:tcBorders>
              <w:top w:color="000000" w:space="0" w:sz="0" w:val="nil"/>
              <w:left w:color="000000" w:space="0" w:sz="0" w:val="nil"/>
              <w:right w:color="000000" w:space="0" w:sz="0" w:val="nil"/>
            </w:tcBorders>
            <w:shd w:fill="ffffff" w:val="clear"/>
            <w:vAlign w:val="bottom"/>
          </w:tcPr>
          <w:p w:rsidR="00000000" w:rsidDel="00000000" w:rsidP="00000000" w:rsidRDefault="00000000" w:rsidRPr="00000000" w14:paraId="00000D44">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0,00%</w:t>
            </w:r>
          </w:p>
        </w:tc>
      </w:tr>
      <w:tr>
        <w:trPr>
          <w:cantSplit w:val="0"/>
          <w:trHeight w:val="227" w:hRule="atLeast"/>
          <w:tblHeader w:val="0"/>
        </w:trPr>
        <w:tc>
          <w:tcPr>
            <w:tcBorders>
              <w:top w:color="000000" w:space="0" w:sz="0" w:val="nil"/>
              <w:left w:color="000000" w:space="0" w:sz="0" w:val="nil"/>
              <w:bottom w:color="000000" w:space="0" w:sz="4" w:val="single"/>
              <w:right w:color="000000" w:space="0" w:sz="0" w:val="nil"/>
            </w:tcBorders>
            <w:shd w:fill="ffffff" w:val="clear"/>
            <w:vAlign w:val="center"/>
          </w:tcPr>
          <w:p w:rsidR="00000000" w:rsidDel="00000000" w:rsidP="00000000" w:rsidRDefault="00000000" w:rsidRPr="00000000" w14:paraId="00000D45">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Positivo para raiva laboratório</w:t>
            </w:r>
          </w:p>
        </w:tc>
        <w:tc>
          <w:tcPr>
            <w:vMerge w:val="continue"/>
            <w:tcBorders>
              <w:top w:color="000000" w:space="0" w:sz="8" w:val="single"/>
              <w:left w:color="000000" w:space="0" w:sz="0" w:val="nil"/>
              <w:bottom w:color="000000" w:space="0" w:sz="4" w:val="single"/>
              <w:right w:color="000000" w:space="0" w:sz="0" w:val="nil"/>
            </w:tcBorders>
            <w:shd w:fill="ffffff" w:val="clear"/>
            <w:vAlign w:val="center"/>
          </w:tcPr>
          <w:p w:rsidR="00000000" w:rsidDel="00000000" w:rsidP="00000000" w:rsidRDefault="00000000" w:rsidRPr="00000000" w14:paraId="00000D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D47">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5</w:t>
            </w:r>
          </w:p>
        </w:tc>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D48">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15,15%</w:t>
            </w:r>
          </w:p>
        </w:tc>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D49">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17</w:t>
            </w:r>
          </w:p>
        </w:tc>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D4A">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51,52%</w:t>
            </w:r>
          </w:p>
        </w:tc>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D4B">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10</w:t>
            </w:r>
          </w:p>
        </w:tc>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D4C">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30,30%</w:t>
            </w:r>
          </w:p>
        </w:tc>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D4D">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w:t>
            </w:r>
          </w:p>
        </w:tc>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D4E">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0,00%</w:t>
            </w:r>
          </w:p>
        </w:tc>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D4F">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w:t>
            </w:r>
          </w:p>
        </w:tc>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D50">
            <w:pPr>
              <w:spacing w:after="0" w:line="240" w:lineRule="auto"/>
              <w:jc w:val="right"/>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3,03%</w:t>
            </w:r>
          </w:p>
        </w:tc>
      </w:tr>
    </w:tbl>
    <w:p w:rsidR="00000000" w:rsidDel="00000000" w:rsidP="00000000" w:rsidRDefault="00000000" w:rsidRPr="00000000" w14:paraId="00000D51">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60" w:before="12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sectPr>
          <w:type w:val="nextPage"/>
          <w:pgSz w:h="11906" w:w="16838" w:orient="landscape"/>
          <w:pgMar w:bottom="1701" w:top="1701" w:left="1418" w:right="1418" w:header="397" w:footer="680"/>
          <w:titlePg w:val="1"/>
        </w:sectPr>
      </w:pPr>
      <w:bookmarkStart w:colFirst="0" w:colLast="0" w:name="_heading=h.2iq8gzs" w:id="72"/>
      <w:bookmarkEnd w:id="72"/>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Tabela 12 </w:t>
        <w:tab/>
        <w:t xml:space="preserve">Frequência absoluta (Fi), frequência relativa (fi) de indivíduos encaminhados para tratamento antirrábico, segundo antecedentes epidemiológicos. Feira de Santana, Bahia. 2008-2019.</w:t>
      </w:r>
    </w:p>
    <w:p w:rsidR="00000000" w:rsidDel="00000000" w:rsidP="00000000" w:rsidRDefault="00000000" w:rsidRPr="00000000" w14:paraId="00000D52">
      <w:pPr>
        <w:pStyle w:val="Heading1"/>
        <w:rPr/>
      </w:pPr>
      <w:bookmarkStart w:colFirst="0" w:colLast="0" w:name="_heading=h.xvir7l" w:id="73"/>
      <w:bookmarkEnd w:id="73"/>
      <w:r w:rsidDel="00000000" w:rsidR="00000000" w:rsidRPr="00000000">
        <w:rPr>
          <w:rtl w:val="0"/>
        </w:rPr>
        <w:t xml:space="preserve">APÊNDICE 3: </w:t>
      </w:r>
      <w:r w:rsidDel="00000000" w:rsidR="00000000" w:rsidRPr="00000000">
        <w:rPr>
          <w:smallCaps w:val="0"/>
          <w:rtl w:val="0"/>
        </w:rPr>
        <w:t xml:space="preserve">Mapas da distribuição espacial dos agravos a humanos, segundo as espécies e anos</w:t>
      </w:r>
      <w:r w:rsidDel="00000000" w:rsidR="00000000" w:rsidRPr="00000000">
        <w:rPr>
          <w:rtl w:val="0"/>
        </w:rPr>
      </w:r>
    </w:p>
    <w:p w:rsidR="00000000" w:rsidDel="00000000" w:rsidP="00000000" w:rsidRDefault="00000000" w:rsidRPr="00000000" w14:paraId="00000D53">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60" w:before="120" w:line="240" w:lineRule="auto"/>
        <w:ind w:left="1134" w:right="0" w:hanging="1134"/>
        <w:jc w:val="left"/>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heading=h.3hv69ve" w:id="74"/>
      <w:bookmarkEnd w:id="74"/>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Figura 18.</w:t>
        <w:tab/>
        <w:t xml:space="preserve">Agravos por carnívoros a humanos no município de Feira de Santana – BA segundo os bairros e anos, no período de 2008 a 2019.</w:t>
      </w:r>
    </w:p>
    <w:p w:rsidR="00000000" w:rsidDel="00000000" w:rsidP="00000000" w:rsidRDefault="00000000" w:rsidRPr="00000000" w14:paraId="00000D54">
      <w:pPr>
        <w:jc w:val="center"/>
        <w:rPr/>
      </w:pPr>
      <w:r w:rsidDel="00000000" w:rsidR="00000000" w:rsidRPr="00000000">
        <w:rPr/>
        <w:drawing>
          <wp:inline distB="0" distT="0" distL="0" distR="0">
            <wp:extent cx="13379578" cy="8280000"/>
            <wp:effectExtent b="0" l="0" r="0" t="0"/>
            <wp:docPr descr="Desenho técnico&#10;&#10;Descrição gerada automaticamente" id="101" name="image75.jpg"/>
            <a:graphic>
              <a:graphicData uri="http://schemas.openxmlformats.org/drawingml/2006/picture">
                <pic:pic>
                  <pic:nvPicPr>
                    <pic:cNvPr descr="Desenho técnico&#10;&#10;Descrição gerada automaticamente" id="0" name="image75.jpg"/>
                    <pic:cNvPicPr preferRelativeResize="0"/>
                  </pic:nvPicPr>
                  <pic:blipFill>
                    <a:blip r:embed="rId70"/>
                    <a:srcRect b="0" l="0" r="0" t="0"/>
                    <a:stretch>
                      <a:fillRect/>
                    </a:stretch>
                  </pic:blipFill>
                  <pic:spPr>
                    <a:xfrm>
                      <a:off x="0" y="0"/>
                      <a:ext cx="13379578" cy="8280000"/>
                    </a:xfrm>
                    <a:prstGeom prst="rect"/>
                    <a:ln/>
                  </pic:spPr>
                </pic:pic>
              </a:graphicData>
            </a:graphic>
          </wp:inline>
        </w:drawing>
      </w:r>
      <w:r w:rsidDel="00000000" w:rsidR="00000000" w:rsidRPr="00000000">
        <w:rPr>
          <w:rtl w:val="0"/>
        </w:rPr>
      </w:r>
    </w:p>
    <w:p w:rsidR="00000000" w:rsidDel="00000000" w:rsidP="00000000" w:rsidRDefault="00000000" w:rsidRPr="00000000" w14:paraId="00000D55">
      <w:pPr>
        <w:rPr/>
      </w:pPr>
      <w:r w:rsidDel="00000000" w:rsidR="00000000" w:rsidRPr="00000000">
        <w:rPr>
          <w:rFonts w:ascii="Times New Roman" w:cs="Times New Roman" w:eastAsia="Times New Roman" w:hAnsi="Times New Roman"/>
          <w:sz w:val="16"/>
          <w:szCs w:val="16"/>
          <w:rtl w:val="0"/>
        </w:rPr>
        <w:t xml:space="preserve">1 - PAPAGAIO; 2 - MANGABEIRA; 3 - CONCEIÇÃO; 4 - SANTO ANTÔNIO DOS PRAZERES; 5 - AEROPORTO; 6 - PARQUE IPÊ; 7 - CIDADE NOVA; 8 - NOVA ESPERANÇA; 9 - GABRIELA; 10 - CAMPO DO GADO NOVO; 11 - ASA BRANCA; 12 - CAMPO LIMPO; 13 - NOVO HORIZONTE; 14 - PAMPALONA; 15 - SERRARIA BRASIL; 16 - CHÁCARA SÃO COSME; 17 - RUA NOVA; 18 - JARDIM CRUZEIRO; 19 - OLHOS D'ÁGUA; 20 - MUCHILA; 21 - SOBRADINHO; 22 - BARAÚNA; 23 - CALUMBI; 24 - QUEIMADINHA; 25 - JARDIM ACÁCIA; 26 - PEDRA DO DESCANSO; 27 - CENTRO; 28 - PARQUE GETÚLIO VARGAS; 29 - SANTA MONICA; 30 - CAPUCHINHOS; 31 - CASEB; 32 - PONTO CENTRAL; 33 - SÃO JOÃO (antigo Campo do Gado Velho); 34 - LAGOA GRANDE; 35 - TOMBA; 36 - BRASÍLIA; 37 - SIM; 38 - CIS; 39 - LIMOEIRO; 40 - AVIÁRIO; 41 - LAGOA SALGADA; 42 - 35º BI; 43 - SUBAÉ; 44 - HUMILDES; 45 - GOVERNADOR DR. JOÃO DURVAL CARNEIRO; 46 - JAGUARA; 47 - JAÍBA; 48 - MARIA QUITÉRIA; 49 - MATINHA; 50 - TIQUARUÇU; 51 - CRUZEIRO</w:t>
      </w:r>
      <w:r w:rsidDel="00000000" w:rsidR="00000000" w:rsidRPr="00000000">
        <w:rPr>
          <w:rtl w:val="0"/>
        </w:rPr>
      </w:r>
    </w:p>
    <w:p w:rsidR="00000000" w:rsidDel="00000000" w:rsidP="00000000" w:rsidRDefault="00000000" w:rsidRPr="00000000" w14:paraId="00000D56">
      <w:pPr>
        <w:rPr/>
      </w:pPr>
      <w:r w:rsidDel="00000000" w:rsidR="00000000" w:rsidRPr="00000000">
        <w:br w:type="page"/>
      </w:r>
      <w:r w:rsidDel="00000000" w:rsidR="00000000" w:rsidRPr="00000000">
        <w:rPr>
          <w:rtl w:val="0"/>
        </w:rPr>
      </w:r>
    </w:p>
    <w:p w:rsidR="00000000" w:rsidDel="00000000" w:rsidP="00000000" w:rsidRDefault="00000000" w:rsidRPr="00000000" w14:paraId="00000D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60" w:before="120" w:line="240" w:lineRule="auto"/>
        <w:ind w:left="1134" w:right="0" w:hanging="1134"/>
        <w:jc w:val="both"/>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heading=h.1x0gk37" w:id="75"/>
      <w:bookmarkEnd w:id="75"/>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Figura 19.</w:t>
        <w:tab/>
        <w:t xml:space="preserve">Agravos por herbívoros a humanos no município de Feira de Santana – BA segundo os bairros e anos, no período de 2008 a 2019.</w:t>
      </w:r>
    </w:p>
    <w:p w:rsidR="00000000" w:rsidDel="00000000" w:rsidP="00000000" w:rsidRDefault="00000000" w:rsidRPr="00000000" w14:paraId="00000D58">
      <w:pPr>
        <w:jc w:val="center"/>
        <w:rPr/>
      </w:pPr>
      <w:r w:rsidDel="00000000" w:rsidR="00000000" w:rsidRPr="00000000">
        <w:rPr/>
        <w:drawing>
          <wp:inline distB="0" distT="0" distL="0" distR="0">
            <wp:extent cx="13379578" cy="8280000"/>
            <wp:effectExtent b="0" l="0" r="0" t="0"/>
            <wp:docPr descr="Diagrama, Desenho técnico&#10;&#10;Descrição gerada automaticamente" id="102" name="image74.jpg"/>
            <a:graphic>
              <a:graphicData uri="http://schemas.openxmlformats.org/drawingml/2006/picture">
                <pic:pic>
                  <pic:nvPicPr>
                    <pic:cNvPr descr="Diagrama, Desenho técnico&#10;&#10;Descrição gerada automaticamente" id="0" name="image74.jpg"/>
                    <pic:cNvPicPr preferRelativeResize="0"/>
                  </pic:nvPicPr>
                  <pic:blipFill>
                    <a:blip r:embed="rId71"/>
                    <a:srcRect b="0" l="0" r="0" t="0"/>
                    <a:stretch>
                      <a:fillRect/>
                    </a:stretch>
                  </pic:blipFill>
                  <pic:spPr>
                    <a:xfrm>
                      <a:off x="0" y="0"/>
                      <a:ext cx="13379578" cy="8280000"/>
                    </a:xfrm>
                    <a:prstGeom prst="rect"/>
                    <a:ln/>
                  </pic:spPr>
                </pic:pic>
              </a:graphicData>
            </a:graphic>
          </wp:inline>
        </w:drawing>
      </w:r>
      <w:r w:rsidDel="00000000" w:rsidR="00000000" w:rsidRPr="00000000">
        <w:rPr>
          <w:rtl w:val="0"/>
        </w:rPr>
      </w:r>
    </w:p>
    <w:p w:rsidR="00000000" w:rsidDel="00000000" w:rsidP="00000000" w:rsidRDefault="00000000" w:rsidRPr="00000000" w14:paraId="00000D59">
      <w:pPr>
        <w:rPr/>
      </w:pPr>
      <w:r w:rsidDel="00000000" w:rsidR="00000000" w:rsidRPr="00000000">
        <w:rPr>
          <w:rFonts w:ascii="Times New Roman" w:cs="Times New Roman" w:eastAsia="Times New Roman" w:hAnsi="Times New Roman"/>
          <w:sz w:val="16"/>
          <w:szCs w:val="16"/>
          <w:rtl w:val="0"/>
        </w:rPr>
        <w:t xml:space="preserve">1 - PAPAGAIO; 2 - MANGABEIRA; 3 - CONCEIÇÃO; 4 - SANTO ANTÔNIO DOS PRAZERES; 5 - AEROPORTO; 6 - PARQUE IPÊ; 7 - CIDADE NOVA; 8 - NOVA ESPERANÇA; 9 - GABRIELA; 10 - CAMPO DO GADO NOVO; 11 - ASA BRANCA; 12 - CAMPO LIMPO; 13 - NOVO HORIZONTE; 14 - PAMPALONA; 15 - SERRARIA BRASIL; 16 - CHÁCARA SÃO COSME; 17 - RUA NOVA; 18 - JARDIM CRUZEIRO; 19 - OLHOS D'ÁGUA; 20 - MUCHILA; 21 - SOBRADINHO; 22 - BARAÚNA; 23 - CALUMBI; 24 - QUEIMADINHA; 25 - JARDIM ACÁCIA; 26 - PEDRA DO DESCANSO; 27 - CENTRO; 28 - PARQUE GETÚLIO VARGAS; 29 - SANTA MONICA; 30 - CAPUCHINHOS; 31 - CASEB; 32 - PONTO CENTRAL; 33 - SÃO JOÃO (antigo Campo do Gado Velho); 34 - LAGOA GRANDE; 35 - TOMBA; 36 - BRASÍLIA; 37 - SIM; 38 - CIS; 39 - LIMOEIRO; 40 - AVIÁRIO; 41 - LAGOA SALGADA; 42 - 35º BI; 43 - SUBAÉ; 44 - HUMILDES; 45 - GOVERNADOR DR. JOÃO DURVAL CARNEIRO; 46 - JAGUARA; 47 - JAÍBA; 48 - MARIA QUITÉRIA; 49 - MATINHA; 50 - TIQUARUÇU; 51 - CRUZEIRO</w:t>
      </w:r>
      <w:r w:rsidDel="00000000" w:rsidR="00000000" w:rsidRPr="00000000">
        <w:rPr>
          <w:rtl w:val="0"/>
        </w:rPr>
      </w:r>
    </w:p>
    <w:p w:rsidR="00000000" w:rsidDel="00000000" w:rsidP="00000000" w:rsidRDefault="00000000" w:rsidRPr="00000000" w14:paraId="00000D5A">
      <w:pPr>
        <w:rPr/>
      </w:pPr>
      <w:r w:rsidDel="00000000" w:rsidR="00000000" w:rsidRPr="00000000">
        <w:br w:type="page"/>
      </w:r>
      <w:r w:rsidDel="00000000" w:rsidR="00000000" w:rsidRPr="00000000">
        <w:rPr>
          <w:rtl w:val="0"/>
        </w:rPr>
      </w:r>
    </w:p>
    <w:p w:rsidR="00000000" w:rsidDel="00000000" w:rsidP="00000000" w:rsidRDefault="00000000" w:rsidRPr="00000000" w14:paraId="00000D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60" w:before="120" w:line="240" w:lineRule="auto"/>
        <w:ind w:left="1134" w:right="0" w:hanging="1134"/>
        <w:jc w:val="both"/>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heading=h.4h042r0" w:id="76"/>
      <w:bookmarkEnd w:id="76"/>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Figura 20.</w:t>
        <w:tab/>
        <w:t xml:space="preserve">Agravos por animais sinantrópicos e selvagens a humanos no município de Feira de Santana – BA segundo os bairros e anos, no período de 2008 a 2019.</w:t>
      </w:r>
    </w:p>
    <w:p w:rsidR="00000000" w:rsidDel="00000000" w:rsidP="00000000" w:rsidRDefault="00000000" w:rsidRPr="00000000" w14:paraId="00000D5C">
      <w:pPr>
        <w:rPr/>
      </w:pPr>
      <w:r w:rsidDel="00000000" w:rsidR="00000000" w:rsidRPr="00000000">
        <w:rPr/>
        <w:drawing>
          <wp:inline distB="0" distT="0" distL="0" distR="0">
            <wp:extent cx="14256000" cy="8822377"/>
            <wp:effectExtent b="0" l="0" r="0" t="0"/>
            <wp:docPr id="103" name="image65.jpg"/>
            <a:graphic>
              <a:graphicData uri="http://schemas.openxmlformats.org/drawingml/2006/picture">
                <pic:pic>
                  <pic:nvPicPr>
                    <pic:cNvPr id="0" name="image65.jpg"/>
                    <pic:cNvPicPr preferRelativeResize="0"/>
                  </pic:nvPicPr>
                  <pic:blipFill>
                    <a:blip r:embed="rId72"/>
                    <a:srcRect b="0" l="0" r="0" t="0"/>
                    <a:stretch>
                      <a:fillRect/>
                    </a:stretch>
                  </pic:blipFill>
                  <pic:spPr>
                    <a:xfrm>
                      <a:off x="0" y="0"/>
                      <a:ext cx="14256000" cy="8822377"/>
                    </a:xfrm>
                    <a:prstGeom prst="rect"/>
                    <a:ln/>
                  </pic:spPr>
                </pic:pic>
              </a:graphicData>
            </a:graphic>
          </wp:inline>
        </w:drawing>
      </w:r>
      <w:r w:rsidDel="00000000" w:rsidR="00000000" w:rsidRPr="00000000">
        <w:rPr>
          <w:rtl w:val="0"/>
        </w:rPr>
      </w:r>
    </w:p>
    <w:p w:rsidR="00000000" w:rsidDel="00000000" w:rsidP="00000000" w:rsidRDefault="00000000" w:rsidRPr="00000000" w14:paraId="00000D5D">
      <w:pPr>
        <w:rPr/>
      </w:pPr>
      <w:r w:rsidDel="00000000" w:rsidR="00000000" w:rsidRPr="00000000">
        <w:rPr>
          <w:rFonts w:ascii="Times New Roman" w:cs="Times New Roman" w:eastAsia="Times New Roman" w:hAnsi="Times New Roman"/>
          <w:sz w:val="16"/>
          <w:szCs w:val="16"/>
          <w:rtl w:val="0"/>
        </w:rPr>
        <w:t xml:space="preserve">1 - PAPAGAIO; 2 - MANGABEIRA; 3 - CONCEIÇÃO; 4 - SANTO ANTÔNIO DOS PRAZERES; 5 - AEROPORTO; 6 - PARQUE IPÊ; 7 - CIDADE NOVA; 8 - NOVA ESPERANÇA; 9 - GABRIELA; 10 - CAMPO DO GADO NOVO; 11 - ASA BRANCA; 12 - CAMPO LIMPO; 13 - NOVO HORIZONTE; 14 - PAMPALONA; 15 - SERRARIA BRASIL; 16 - CHÁCARA SÃO COSME; 17 - RUA NOVA; 18 - JARDIM CRUZEIRO; 19 - OLHOS D'ÁGUA; 20 - MUCHILA; 21 - SOBRADINHO; 22 - BARAÚNA; 23 - CALUMBI; 24 - QUEIMADINHA; 25 - JARDIM ACÁCIA; 26 - PEDRA DO DESCANSO; 27 - CENTRO; 28 - PARQUE GETÚLIO VARGAS; 29 - SANTA MONICA; 30 - CAPUCHINHOS; 31 - CASEB; 32 - PONTO CENTRAL; 33 - SÃO JOÃO (antigo Campo do Gado Velho); 34 - LAGOA GRANDE; 35 - TOMBA; 36 - BRASÍLIA; 37 - SIM; 38 - CIS; 39 - LIMOEIRO; 40 - AVIÁRIO; 41 - LAGOA SALGADA; 42 - 35º BI; 43 - SUBAÉ; 44 - HUMILDES; 45 - GOVERNADOR DR. JOÃO DURVAL CARNEIRO; 46 - JAGUARA; 47 - JAÍBA; 48 - MARIA QUITÉRIA; 49 - MATINHA; 50 - TIQUARUÇU; 51 - CRUZEIRO</w:t>
      </w:r>
      <w:r w:rsidDel="00000000" w:rsidR="00000000" w:rsidRPr="00000000">
        <w:rPr>
          <w:rtl w:val="0"/>
        </w:rPr>
      </w:r>
    </w:p>
    <w:p w:rsidR="00000000" w:rsidDel="00000000" w:rsidP="00000000" w:rsidRDefault="00000000" w:rsidRPr="00000000" w14:paraId="00000D5E">
      <w:pPr>
        <w:rPr/>
        <w:sectPr>
          <w:type w:val="nextPage"/>
          <w:pgSz w:h="11906" w:w="16838" w:orient="landscape"/>
          <w:pgMar w:bottom="567" w:top="567" w:left="567" w:right="567" w:header="397" w:footer="680"/>
          <w:titlePg w:val="1"/>
        </w:sectPr>
      </w:pPr>
      <w:r w:rsidDel="00000000" w:rsidR="00000000" w:rsidRPr="00000000">
        <w:rPr>
          <w:rtl w:val="0"/>
        </w:rPr>
      </w:r>
    </w:p>
    <w:p w:rsidR="00000000" w:rsidDel="00000000" w:rsidP="00000000" w:rsidRDefault="00000000" w:rsidRPr="00000000" w14:paraId="00000D5F">
      <w:pPr>
        <w:pStyle w:val="Heading1"/>
        <w:rPr/>
      </w:pPr>
      <w:bookmarkStart w:colFirst="0" w:colLast="0" w:name="_heading=h.2w5ecyt" w:id="77"/>
      <w:bookmarkEnd w:id="77"/>
      <w:r w:rsidDel="00000000" w:rsidR="00000000" w:rsidRPr="00000000">
        <w:rPr>
          <w:rtl w:val="0"/>
        </w:rPr>
        <w:t xml:space="preserve">APÊNDICE 4: </w:t>
      </w:r>
      <w:r w:rsidDel="00000000" w:rsidR="00000000" w:rsidRPr="00000000">
        <w:rPr>
          <w:smallCaps w:val="0"/>
          <w:rtl w:val="0"/>
        </w:rPr>
        <w:t xml:space="preserve">Gráficos de dispersão para a autocorrelação espacial das frequências absolutas de agravos </w:t>
      </w:r>
      <w:r w:rsidDel="00000000" w:rsidR="00000000" w:rsidRPr="00000000">
        <w:rPr>
          <w:rtl w:val="0"/>
        </w:rPr>
      </w:r>
    </w:p>
    <w:p w:rsidR="00000000" w:rsidDel="00000000" w:rsidP="00000000" w:rsidRDefault="00000000" w:rsidRPr="00000000" w14:paraId="00000D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60" w:before="120" w:line="240" w:lineRule="auto"/>
        <w:ind w:left="1134" w:right="0" w:hanging="1134"/>
        <w:jc w:val="both"/>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heading=h.1baon6m" w:id="78"/>
      <w:bookmarkEnd w:id="78"/>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Figura 21.</w:t>
        <w:tab/>
        <w:t xml:space="preserve">Gráficos de dispersão para a autocorrelação espacial diferencial entre pares de anos da frequência absoluta de agravos a humanos por carnívoros. Feira de Santana, BA. 2008-2019.</w:t>
      </w:r>
    </w:p>
    <w:tbl>
      <w:tblPr>
        <w:tblStyle w:val="Table16"/>
        <w:tblW w:w="8494.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831"/>
        <w:gridCol w:w="2831"/>
        <w:gridCol w:w="2832"/>
        <w:tblGridChange w:id="0">
          <w:tblGrid>
            <w:gridCol w:w="2831"/>
            <w:gridCol w:w="2831"/>
            <w:gridCol w:w="2832"/>
          </w:tblGrid>
        </w:tblGridChange>
      </w:tblGrid>
      <w:tr>
        <w:trPr>
          <w:cantSplit w:val="0"/>
          <w:tblHeader w:val="0"/>
        </w:trPr>
        <w:tc>
          <w:tcPr>
            <w:tcBorders>
              <w:top w:color="808080" w:space="0" w:sz="4" w:val="single"/>
              <w:left w:color="808080" w:space="0" w:sz="4" w:val="single"/>
              <w:right w:color="808080" w:space="0" w:sz="4" w:val="single"/>
            </w:tcBorders>
          </w:tcPr>
          <w:p w:rsidR="00000000" w:rsidDel="00000000" w:rsidP="00000000" w:rsidRDefault="00000000" w:rsidRPr="00000000" w14:paraId="00000D61">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2008 x 2009</w:t>
            </w:r>
          </w:p>
        </w:tc>
        <w:tc>
          <w:tcPr>
            <w:tcBorders>
              <w:top w:color="808080" w:space="0" w:sz="4" w:val="single"/>
              <w:left w:color="808080" w:space="0" w:sz="4" w:val="single"/>
              <w:right w:color="808080" w:space="0" w:sz="4" w:val="single"/>
            </w:tcBorders>
          </w:tcPr>
          <w:p w:rsidR="00000000" w:rsidDel="00000000" w:rsidP="00000000" w:rsidRDefault="00000000" w:rsidRPr="00000000" w14:paraId="00000D62">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2009 x 2010</w:t>
            </w:r>
          </w:p>
        </w:tc>
        <w:tc>
          <w:tcPr>
            <w:tcBorders>
              <w:top w:color="808080" w:space="0" w:sz="4" w:val="single"/>
              <w:left w:color="808080" w:space="0" w:sz="4" w:val="single"/>
              <w:right w:color="808080" w:space="0" w:sz="4" w:val="single"/>
            </w:tcBorders>
          </w:tcPr>
          <w:p w:rsidR="00000000" w:rsidDel="00000000" w:rsidP="00000000" w:rsidRDefault="00000000" w:rsidRPr="00000000" w14:paraId="00000D63">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2010 x 2011</w:t>
            </w:r>
          </w:p>
        </w:tc>
      </w:tr>
      <w:tr>
        <w:trPr>
          <w:cantSplit w:val="0"/>
          <w:tblHeader w:val="0"/>
        </w:trPr>
        <w:tc>
          <w:tcPr>
            <w:tcBorders>
              <w:left w:color="808080" w:space="0" w:sz="4" w:val="single"/>
              <w:bottom w:color="808080" w:space="0" w:sz="4" w:val="single"/>
              <w:right w:color="808080" w:space="0" w:sz="4" w:val="single"/>
            </w:tcBorders>
          </w:tcPr>
          <w:p w:rsidR="00000000" w:rsidDel="00000000" w:rsidP="00000000" w:rsidRDefault="00000000" w:rsidRPr="00000000" w14:paraId="00000D64">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1617885" cy="1620000"/>
                  <wp:effectExtent b="0" l="0" r="0" t="0"/>
                  <wp:docPr descr="Gráfico, Gráfico de linhas&#10;&#10;Descrição gerada automaticamente" id="104" name="image1.png"/>
                  <a:graphic>
                    <a:graphicData uri="http://schemas.openxmlformats.org/drawingml/2006/picture">
                      <pic:pic>
                        <pic:nvPicPr>
                          <pic:cNvPr descr="Gráfico, Gráfico de linhas&#10;&#10;Descrição gerada automaticamente" id="0" name="image1.png"/>
                          <pic:cNvPicPr preferRelativeResize="0"/>
                        </pic:nvPicPr>
                        <pic:blipFill>
                          <a:blip r:embed="rId73"/>
                          <a:srcRect b="0" l="24456" r="24581" t="0"/>
                          <a:stretch>
                            <a:fillRect/>
                          </a:stretch>
                        </pic:blipFill>
                        <pic:spPr>
                          <a:xfrm>
                            <a:off x="0" y="0"/>
                            <a:ext cx="1617885" cy="1620000"/>
                          </a:xfrm>
                          <a:prstGeom prst="rect"/>
                          <a:ln/>
                        </pic:spPr>
                      </pic:pic>
                    </a:graphicData>
                  </a:graphic>
                </wp:inline>
              </w:drawing>
            </w:r>
            <w:r w:rsidDel="00000000" w:rsidR="00000000" w:rsidRPr="00000000">
              <w:rPr>
                <w:rtl w:val="0"/>
              </w:rPr>
            </w:r>
          </w:p>
        </w:tc>
        <w:tc>
          <w:tcPr>
            <w:tcBorders>
              <w:left w:color="808080" w:space="0" w:sz="4" w:val="single"/>
              <w:bottom w:color="808080" w:space="0" w:sz="4" w:val="single"/>
              <w:right w:color="808080" w:space="0" w:sz="4" w:val="single"/>
            </w:tcBorders>
          </w:tcPr>
          <w:p w:rsidR="00000000" w:rsidDel="00000000" w:rsidP="00000000" w:rsidRDefault="00000000" w:rsidRPr="00000000" w14:paraId="00000D65">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1617760" cy="1620000"/>
                  <wp:effectExtent b="0" l="0" r="0" t="0"/>
                  <wp:docPr descr="Gráfico, Gráfico de linhas&#10;&#10;Descrição gerada automaticamente" id="105" name="image3.png"/>
                  <a:graphic>
                    <a:graphicData uri="http://schemas.openxmlformats.org/drawingml/2006/picture">
                      <pic:pic>
                        <pic:nvPicPr>
                          <pic:cNvPr descr="Gráfico, Gráfico de linhas&#10;&#10;Descrição gerada automaticamente" id="0" name="image3.png"/>
                          <pic:cNvPicPr preferRelativeResize="0"/>
                        </pic:nvPicPr>
                        <pic:blipFill>
                          <a:blip r:embed="rId74"/>
                          <a:srcRect b="0" l="24929" r="24117" t="0"/>
                          <a:stretch>
                            <a:fillRect/>
                          </a:stretch>
                        </pic:blipFill>
                        <pic:spPr>
                          <a:xfrm>
                            <a:off x="0" y="0"/>
                            <a:ext cx="1617760" cy="1620000"/>
                          </a:xfrm>
                          <a:prstGeom prst="rect"/>
                          <a:ln/>
                        </pic:spPr>
                      </pic:pic>
                    </a:graphicData>
                  </a:graphic>
                </wp:inline>
              </w:drawing>
            </w:r>
            <w:r w:rsidDel="00000000" w:rsidR="00000000" w:rsidRPr="00000000">
              <w:rPr>
                <w:rtl w:val="0"/>
              </w:rPr>
            </w:r>
          </w:p>
        </w:tc>
        <w:tc>
          <w:tcPr>
            <w:tcBorders>
              <w:left w:color="808080" w:space="0" w:sz="4" w:val="single"/>
              <w:bottom w:color="808080" w:space="0" w:sz="4" w:val="single"/>
              <w:right w:color="808080" w:space="0" w:sz="4" w:val="single"/>
            </w:tcBorders>
          </w:tcPr>
          <w:p w:rsidR="00000000" w:rsidDel="00000000" w:rsidP="00000000" w:rsidRDefault="00000000" w:rsidRPr="00000000" w14:paraId="00000D66">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1563289" cy="1620000"/>
                  <wp:effectExtent b="0" l="0" r="0" t="0"/>
                  <wp:docPr descr="Gráfico, Gráfico de linhas&#10;&#10;Descrição gerada automaticamente" id="106" name="image6.png"/>
                  <a:graphic>
                    <a:graphicData uri="http://schemas.openxmlformats.org/drawingml/2006/picture">
                      <pic:pic>
                        <pic:nvPicPr>
                          <pic:cNvPr descr="Gráfico, Gráfico de linhas&#10;&#10;Descrição gerada automaticamente" id="0" name="image6.png"/>
                          <pic:cNvPicPr preferRelativeResize="0"/>
                        </pic:nvPicPr>
                        <pic:blipFill>
                          <a:blip r:embed="rId75"/>
                          <a:srcRect b="0" l="25086" r="25677" t="0"/>
                          <a:stretch>
                            <a:fillRect/>
                          </a:stretch>
                        </pic:blipFill>
                        <pic:spPr>
                          <a:xfrm>
                            <a:off x="0" y="0"/>
                            <a:ext cx="1563289" cy="1620000"/>
                          </a:xfrm>
                          <a:prstGeom prst="rect"/>
                          <a:ln/>
                        </pic:spPr>
                      </pic:pic>
                    </a:graphicData>
                  </a:graphic>
                </wp:inline>
              </w:drawing>
            </w:r>
            <w:r w:rsidDel="00000000" w:rsidR="00000000" w:rsidRPr="00000000">
              <w:rPr>
                <w:rtl w:val="0"/>
              </w:rPr>
            </w:r>
          </w:p>
        </w:tc>
      </w:tr>
      <w:tr>
        <w:trPr>
          <w:cantSplit w:val="0"/>
          <w:tblHeader w:val="0"/>
        </w:trPr>
        <w:tc>
          <w:tcPr>
            <w:tcBorders>
              <w:top w:color="808080" w:space="0" w:sz="4" w:val="single"/>
              <w:left w:color="808080" w:space="0" w:sz="4" w:val="single"/>
              <w:right w:color="808080" w:space="0" w:sz="4" w:val="single"/>
            </w:tcBorders>
          </w:tcPr>
          <w:p w:rsidR="00000000" w:rsidDel="00000000" w:rsidP="00000000" w:rsidRDefault="00000000" w:rsidRPr="00000000" w14:paraId="00000D67">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2011 x 2012</w:t>
            </w:r>
          </w:p>
        </w:tc>
        <w:tc>
          <w:tcPr>
            <w:tcBorders>
              <w:top w:color="808080" w:space="0" w:sz="4" w:val="single"/>
              <w:left w:color="808080" w:space="0" w:sz="4" w:val="single"/>
              <w:right w:color="808080" w:space="0" w:sz="4" w:val="single"/>
            </w:tcBorders>
          </w:tcPr>
          <w:p w:rsidR="00000000" w:rsidDel="00000000" w:rsidP="00000000" w:rsidRDefault="00000000" w:rsidRPr="00000000" w14:paraId="00000D68">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2012 x 2013</w:t>
            </w:r>
          </w:p>
        </w:tc>
        <w:tc>
          <w:tcPr>
            <w:tcBorders>
              <w:top w:color="808080" w:space="0" w:sz="4" w:val="single"/>
              <w:left w:color="808080" w:space="0" w:sz="4" w:val="single"/>
              <w:right w:color="808080" w:space="0" w:sz="4" w:val="single"/>
            </w:tcBorders>
          </w:tcPr>
          <w:p w:rsidR="00000000" w:rsidDel="00000000" w:rsidP="00000000" w:rsidRDefault="00000000" w:rsidRPr="00000000" w14:paraId="00000D69">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2013 x 2014</w:t>
            </w:r>
          </w:p>
        </w:tc>
      </w:tr>
      <w:tr>
        <w:trPr>
          <w:cantSplit w:val="0"/>
          <w:tblHeader w:val="0"/>
        </w:trPr>
        <w:tc>
          <w:tcPr>
            <w:tcBorders>
              <w:left w:color="808080" w:space="0" w:sz="4" w:val="single"/>
              <w:bottom w:color="808080" w:space="0" w:sz="4" w:val="single"/>
              <w:right w:color="808080" w:space="0" w:sz="4" w:val="single"/>
            </w:tcBorders>
          </w:tcPr>
          <w:p w:rsidR="00000000" w:rsidDel="00000000" w:rsidP="00000000" w:rsidRDefault="00000000" w:rsidRPr="00000000" w14:paraId="00000D6A">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1588820" cy="1620000"/>
                  <wp:effectExtent b="0" l="0" r="0" t="0"/>
                  <wp:docPr descr="Gráfico, Gráfico de linhas&#10;&#10;Descrição gerada automaticamente" id="107" name="image23.png"/>
                  <a:graphic>
                    <a:graphicData uri="http://schemas.openxmlformats.org/drawingml/2006/picture">
                      <pic:pic>
                        <pic:nvPicPr>
                          <pic:cNvPr descr="Gráfico, Gráfico de linhas&#10;&#10;Descrição gerada automaticamente" id="0" name="image23.png"/>
                          <pic:cNvPicPr preferRelativeResize="0"/>
                        </pic:nvPicPr>
                        <pic:blipFill>
                          <a:blip r:embed="rId76"/>
                          <a:srcRect b="0" l="24858" r="25101" t="0"/>
                          <a:stretch>
                            <a:fillRect/>
                          </a:stretch>
                        </pic:blipFill>
                        <pic:spPr>
                          <a:xfrm>
                            <a:off x="0" y="0"/>
                            <a:ext cx="1588820" cy="1620000"/>
                          </a:xfrm>
                          <a:prstGeom prst="rect"/>
                          <a:ln/>
                        </pic:spPr>
                      </pic:pic>
                    </a:graphicData>
                  </a:graphic>
                </wp:inline>
              </w:drawing>
            </w:r>
            <w:r w:rsidDel="00000000" w:rsidR="00000000" w:rsidRPr="00000000">
              <w:rPr>
                <w:rtl w:val="0"/>
              </w:rPr>
            </w:r>
          </w:p>
        </w:tc>
        <w:tc>
          <w:tcPr>
            <w:tcBorders>
              <w:left w:color="808080" w:space="0" w:sz="4" w:val="single"/>
              <w:bottom w:color="808080" w:space="0" w:sz="4" w:val="single"/>
              <w:right w:color="808080" w:space="0" w:sz="4" w:val="single"/>
            </w:tcBorders>
          </w:tcPr>
          <w:p w:rsidR="00000000" w:rsidDel="00000000" w:rsidP="00000000" w:rsidRDefault="00000000" w:rsidRPr="00000000" w14:paraId="00000D6B">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1616450" cy="1620000"/>
                  <wp:effectExtent b="0" l="0" r="0" t="0"/>
                  <wp:docPr descr="Gráfico, Gráfico de dispersão&#10;&#10;Descrição gerada automaticamente" id="151" name="image41.png"/>
                  <a:graphic>
                    <a:graphicData uri="http://schemas.openxmlformats.org/drawingml/2006/picture">
                      <pic:pic>
                        <pic:nvPicPr>
                          <pic:cNvPr descr="Gráfico, Gráfico de dispersão&#10;&#10;Descrição gerada automaticamente" id="0" name="image41.png"/>
                          <pic:cNvPicPr preferRelativeResize="0"/>
                        </pic:nvPicPr>
                        <pic:blipFill>
                          <a:blip r:embed="rId77"/>
                          <a:srcRect b="0" l="24749" r="24340" t="0"/>
                          <a:stretch>
                            <a:fillRect/>
                          </a:stretch>
                        </pic:blipFill>
                        <pic:spPr>
                          <a:xfrm>
                            <a:off x="0" y="0"/>
                            <a:ext cx="1616450" cy="1620000"/>
                          </a:xfrm>
                          <a:prstGeom prst="rect"/>
                          <a:ln/>
                        </pic:spPr>
                      </pic:pic>
                    </a:graphicData>
                  </a:graphic>
                </wp:inline>
              </w:drawing>
            </w:r>
            <w:r w:rsidDel="00000000" w:rsidR="00000000" w:rsidRPr="00000000">
              <w:rPr>
                <w:rtl w:val="0"/>
              </w:rPr>
            </w:r>
          </w:p>
        </w:tc>
        <w:tc>
          <w:tcPr>
            <w:tcBorders>
              <w:left w:color="808080" w:space="0" w:sz="4" w:val="single"/>
              <w:bottom w:color="808080" w:space="0" w:sz="4" w:val="single"/>
              <w:right w:color="808080" w:space="0" w:sz="4" w:val="single"/>
            </w:tcBorders>
          </w:tcPr>
          <w:p w:rsidR="00000000" w:rsidDel="00000000" w:rsidP="00000000" w:rsidRDefault="00000000" w:rsidRPr="00000000" w14:paraId="00000D6C">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1561211" cy="1620000"/>
                  <wp:effectExtent b="0" l="0" r="0" t="0"/>
                  <wp:docPr descr="Gráfico, Gráfico de dispersão&#10;&#10;Descrição gerada automaticamente" id="153" name="image17.png"/>
                  <a:graphic>
                    <a:graphicData uri="http://schemas.openxmlformats.org/drawingml/2006/picture">
                      <pic:pic>
                        <pic:nvPicPr>
                          <pic:cNvPr descr="Gráfico, Gráfico de dispersão&#10;&#10;Descrição gerada automaticamente" id="0" name="image17.png"/>
                          <pic:cNvPicPr preferRelativeResize="0"/>
                        </pic:nvPicPr>
                        <pic:blipFill>
                          <a:blip r:embed="rId78"/>
                          <a:srcRect b="-11" l="25074" r="25748" t="0"/>
                          <a:stretch>
                            <a:fillRect/>
                          </a:stretch>
                        </pic:blipFill>
                        <pic:spPr>
                          <a:xfrm>
                            <a:off x="0" y="0"/>
                            <a:ext cx="1561211" cy="1620000"/>
                          </a:xfrm>
                          <a:prstGeom prst="rect"/>
                          <a:ln/>
                        </pic:spPr>
                      </pic:pic>
                    </a:graphicData>
                  </a:graphic>
                </wp:inline>
              </w:drawing>
            </w:r>
            <w:r w:rsidDel="00000000" w:rsidR="00000000" w:rsidRPr="00000000">
              <w:rPr>
                <w:rtl w:val="0"/>
              </w:rPr>
            </w:r>
          </w:p>
        </w:tc>
      </w:tr>
      <w:tr>
        <w:trPr>
          <w:cantSplit w:val="0"/>
          <w:tblHeader w:val="0"/>
        </w:trPr>
        <w:tc>
          <w:tcPr>
            <w:tcBorders>
              <w:top w:color="808080" w:space="0" w:sz="4" w:val="single"/>
              <w:left w:color="808080" w:space="0" w:sz="4" w:val="single"/>
              <w:right w:color="808080" w:space="0" w:sz="4" w:val="single"/>
            </w:tcBorders>
          </w:tcPr>
          <w:p w:rsidR="00000000" w:rsidDel="00000000" w:rsidP="00000000" w:rsidRDefault="00000000" w:rsidRPr="00000000" w14:paraId="00000D6D">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2014 x 2015</w:t>
            </w:r>
          </w:p>
        </w:tc>
        <w:tc>
          <w:tcPr>
            <w:tcBorders>
              <w:top w:color="808080" w:space="0" w:sz="4" w:val="single"/>
              <w:left w:color="808080" w:space="0" w:sz="4" w:val="single"/>
              <w:right w:color="808080" w:space="0" w:sz="4" w:val="single"/>
            </w:tcBorders>
          </w:tcPr>
          <w:p w:rsidR="00000000" w:rsidDel="00000000" w:rsidP="00000000" w:rsidRDefault="00000000" w:rsidRPr="00000000" w14:paraId="00000D6E">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2015 x 2016</w:t>
            </w:r>
          </w:p>
        </w:tc>
        <w:tc>
          <w:tcPr>
            <w:tcBorders>
              <w:top w:color="808080" w:space="0" w:sz="4" w:val="single"/>
              <w:left w:color="808080" w:space="0" w:sz="4" w:val="single"/>
              <w:right w:color="808080" w:space="0" w:sz="4" w:val="single"/>
            </w:tcBorders>
          </w:tcPr>
          <w:p w:rsidR="00000000" w:rsidDel="00000000" w:rsidP="00000000" w:rsidRDefault="00000000" w:rsidRPr="00000000" w14:paraId="00000D6F">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2016 x 2017</w:t>
            </w:r>
          </w:p>
        </w:tc>
      </w:tr>
      <w:tr>
        <w:trPr>
          <w:cantSplit w:val="0"/>
          <w:tblHeader w:val="0"/>
        </w:trPr>
        <w:tc>
          <w:tcPr>
            <w:tcBorders>
              <w:left w:color="808080" w:space="0" w:sz="4" w:val="single"/>
              <w:bottom w:color="808080" w:space="0" w:sz="4" w:val="single"/>
              <w:right w:color="808080" w:space="0" w:sz="4" w:val="single"/>
            </w:tcBorders>
          </w:tcPr>
          <w:p w:rsidR="00000000" w:rsidDel="00000000" w:rsidP="00000000" w:rsidRDefault="00000000" w:rsidRPr="00000000" w14:paraId="00000D70">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1557783" cy="1620000"/>
                  <wp:effectExtent b="0" l="0" r="0" t="0"/>
                  <wp:docPr descr="Gráfico, Gráfico de linhas, Gráfico de caixa estreita&#10;&#10;Descrição gerada automaticamente" id="154" name="image58.png"/>
                  <a:graphic>
                    <a:graphicData uri="http://schemas.openxmlformats.org/drawingml/2006/picture">
                      <pic:pic>
                        <pic:nvPicPr>
                          <pic:cNvPr descr="Gráfico, Gráfico de linhas, Gráfico de caixa estreita&#10;&#10;Descrição gerada automaticamente" id="0" name="image58.png"/>
                          <pic:cNvPicPr preferRelativeResize="0"/>
                        </pic:nvPicPr>
                        <pic:blipFill>
                          <a:blip r:embed="rId79"/>
                          <a:srcRect b="0" l="25834" r="25103" t="0"/>
                          <a:stretch>
                            <a:fillRect/>
                          </a:stretch>
                        </pic:blipFill>
                        <pic:spPr>
                          <a:xfrm>
                            <a:off x="0" y="0"/>
                            <a:ext cx="1557783" cy="1620000"/>
                          </a:xfrm>
                          <a:prstGeom prst="rect"/>
                          <a:ln/>
                        </pic:spPr>
                      </pic:pic>
                    </a:graphicData>
                  </a:graphic>
                </wp:inline>
              </w:drawing>
            </w:r>
            <w:r w:rsidDel="00000000" w:rsidR="00000000" w:rsidRPr="00000000">
              <w:rPr>
                <w:rtl w:val="0"/>
              </w:rPr>
            </w:r>
          </w:p>
        </w:tc>
        <w:tc>
          <w:tcPr>
            <w:tcBorders>
              <w:left w:color="808080" w:space="0" w:sz="4" w:val="single"/>
              <w:bottom w:color="808080" w:space="0" w:sz="4" w:val="single"/>
              <w:right w:color="808080" w:space="0" w:sz="4" w:val="single"/>
            </w:tcBorders>
          </w:tcPr>
          <w:p w:rsidR="00000000" w:rsidDel="00000000" w:rsidP="00000000" w:rsidRDefault="00000000" w:rsidRPr="00000000" w14:paraId="00000D71">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1564791" cy="1620000"/>
                  <wp:effectExtent b="0" l="0" r="0" t="0"/>
                  <wp:docPr descr="Gráfico, Gráfico de linhas&#10;&#10;Descrição gerada automaticamente" id="156" name="image43.png"/>
                  <a:graphic>
                    <a:graphicData uri="http://schemas.openxmlformats.org/drawingml/2006/picture">
                      <pic:pic>
                        <pic:nvPicPr>
                          <pic:cNvPr descr="Gráfico, Gráfico de linhas&#10;&#10;Descrição gerada automaticamente" id="0" name="image43.png"/>
                          <pic:cNvPicPr preferRelativeResize="0"/>
                        </pic:nvPicPr>
                        <pic:blipFill>
                          <a:blip r:embed="rId80"/>
                          <a:srcRect b="0" l="25616" r="25099" t="0"/>
                          <a:stretch>
                            <a:fillRect/>
                          </a:stretch>
                        </pic:blipFill>
                        <pic:spPr>
                          <a:xfrm>
                            <a:off x="0" y="0"/>
                            <a:ext cx="1564791" cy="1620000"/>
                          </a:xfrm>
                          <a:prstGeom prst="rect"/>
                          <a:ln/>
                        </pic:spPr>
                      </pic:pic>
                    </a:graphicData>
                  </a:graphic>
                </wp:inline>
              </w:drawing>
            </w:r>
            <w:r w:rsidDel="00000000" w:rsidR="00000000" w:rsidRPr="00000000">
              <w:rPr>
                <w:rtl w:val="0"/>
              </w:rPr>
            </w:r>
          </w:p>
        </w:tc>
        <w:tc>
          <w:tcPr>
            <w:tcBorders>
              <w:left w:color="808080" w:space="0" w:sz="4" w:val="single"/>
              <w:bottom w:color="808080" w:space="0" w:sz="4" w:val="single"/>
              <w:right w:color="808080" w:space="0" w:sz="4" w:val="single"/>
            </w:tcBorders>
          </w:tcPr>
          <w:p w:rsidR="00000000" w:rsidDel="00000000" w:rsidP="00000000" w:rsidRDefault="00000000" w:rsidRPr="00000000" w14:paraId="00000D72">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1581889" cy="1620000"/>
                  <wp:effectExtent b="0" l="0" r="0" t="0"/>
                  <wp:docPr descr="Gráfico, Gráfico de caixa estreita&#10;&#10;Descrição gerada automaticamente" id="159" name="image67.png"/>
                  <a:graphic>
                    <a:graphicData uri="http://schemas.openxmlformats.org/drawingml/2006/picture">
                      <pic:pic>
                        <pic:nvPicPr>
                          <pic:cNvPr descr="Gráfico, Gráfico de caixa estreita&#10;&#10;Descrição gerada automaticamente" id="0" name="image67.png"/>
                          <pic:cNvPicPr preferRelativeResize="0"/>
                        </pic:nvPicPr>
                        <pic:blipFill>
                          <a:blip r:embed="rId81"/>
                          <a:srcRect b="0" l="25400" r="24776" t="0"/>
                          <a:stretch>
                            <a:fillRect/>
                          </a:stretch>
                        </pic:blipFill>
                        <pic:spPr>
                          <a:xfrm>
                            <a:off x="0" y="0"/>
                            <a:ext cx="1581889" cy="1620000"/>
                          </a:xfrm>
                          <a:prstGeom prst="rect"/>
                          <a:ln/>
                        </pic:spPr>
                      </pic:pic>
                    </a:graphicData>
                  </a:graphic>
                </wp:inline>
              </w:drawing>
            </w:r>
            <w:r w:rsidDel="00000000" w:rsidR="00000000" w:rsidRPr="00000000">
              <w:rPr>
                <w:rtl w:val="0"/>
              </w:rPr>
            </w:r>
          </w:p>
        </w:tc>
      </w:tr>
      <w:tr>
        <w:trPr>
          <w:cantSplit w:val="0"/>
          <w:tblHeader w:val="0"/>
        </w:trPr>
        <w:tc>
          <w:tcPr>
            <w:tcBorders>
              <w:top w:color="808080" w:space="0" w:sz="4" w:val="single"/>
              <w:left w:color="808080" w:space="0" w:sz="4" w:val="single"/>
              <w:right w:color="808080" w:space="0" w:sz="4" w:val="single"/>
            </w:tcBorders>
          </w:tcPr>
          <w:p w:rsidR="00000000" w:rsidDel="00000000" w:rsidP="00000000" w:rsidRDefault="00000000" w:rsidRPr="00000000" w14:paraId="00000D73">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2017 x 2018</w:t>
            </w:r>
          </w:p>
        </w:tc>
        <w:tc>
          <w:tcPr>
            <w:tcBorders>
              <w:top w:color="808080" w:space="0" w:sz="4" w:val="single"/>
              <w:left w:color="808080" w:space="0" w:sz="4" w:val="single"/>
              <w:right w:color="808080" w:space="0" w:sz="4" w:val="single"/>
            </w:tcBorders>
          </w:tcPr>
          <w:p w:rsidR="00000000" w:rsidDel="00000000" w:rsidP="00000000" w:rsidRDefault="00000000" w:rsidRPr="00000000" w14:paraId="00000D74">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2018x 2019</w:t>
            </w:r>
          </w:p>
        </w:tc>
        <w:tc>
          <w:tcPr>
            <w:tcBorders>
              <w:top w:color="808080" w:space="0" w:sz="4" w:val="single"/>
              <w:left w:color="808080" w:space="0" w:sz="4" w:val="single"/>
            </w:tcBorders>
          </w:tcPr>
          <w:p w:rsidR="00000000" w:rsidDel="00000000" w:rsidP="00000000" w:rsidRDefault="00000000" w:rsidRPr="00000000" w14:paraId="00000D75">
            <w:pPr>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tcBorders>
              <w:left w:color="808080" w:space="0" w:sz="4" w:val="single"/>
              <w:bottom w:color="808080" w:space="0" w:sz="4" w:val="single"/>
              <w:right w:color="808080" w:space="0" w:sz="4" w:val="single"/>
            </w:tcBorders>
          </w:tcPr>
          <w:p w:rsidR="00000000" w:rsidDel="00000000" w:rsidP="00000000" w:rsidRDefault="00000000" w:rsidRPr="00000000" w14:paraId="00000D76">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1585392" cy="1620000"/>
                  <wp:effectExtent b="0" l="0" r="0" t="0"/>
                  <wp:docPr descr="Gráfico, Gráfico de linhas&#10;&#10;Descrição gerada automaticamente" id="161" name="image56.png"/>
                  <a:graphic>
                    <a:graphicData uri="http://schemas.openxmlformats.org/drawingml/2006/picture">
                      <pic:pic>
                        <pic:nvPicPr>
                          <pic:cNvPr descr="Gráfico, Gráfico de linhas&#10;&#10;Descrição gerada automaticamente" id="0" name="image56.png"/>
                          <pic:cNvPicPr preferRelativeResize="0"/>
                        </pic:nvPicPr>
                        <pic:blipFill>
                          <a:blip r:embed="rId82"/>
                          <a:srcRect b="0" l="25292" r="24775" t="0"/>
                          <a:stretch>
                            <a:fillRect/>
                          </a:stretch>
                        </pic:blipFill>
                        <pic:spPr>
                          <a:xfrm>
                            <a:off x="0" y="0"/>
                            <a:ext cx="1585392" cy="1620000"/>
                          </a:xfrm>
                          <a:prstGeom prst="rect"/>
                          <a:ln/>
                        </pic:spPr>
                      </pic:pic>
                    </a:graphicData>
                  </a:graphic>
                </wp:inline>
              </w:drawing>
            </w:r>
            <w:r w:rsidDel="00000000" w:rsidR="00000000" w:rsidRPr="00000000">
              <w:rPr>
                <w:rtl w:val="0"/>
              </w:rPr>
            </w:r>
          </w:p>
        </w:tc>
        <w:tc>
          <w:tcPr>
            <w:tcBorders>
              <w:left w:color="808080" w:space="0" w:sz="4" w:val="single"/>
              <w:bottom w:color="808080" w:space="0" w:sz="4" w:val="single"/>
              <w:right w:color="808080" w:space="0" w:sz="4" w:val="single"/>
            </w:tcBorders>
          </w:tcPr>
          <w:p w:rsidR="00000000" w:rsidDel="00000000" w:rsidP="00000000" w:rsidRDefault="00000000" w:rsidRPr="00000000" w14:paraId="00000D77">
            <w:pPr>
              <w:jc w:val="center"/>
              <w:rPr>
                <w:rFonts w:ascii="Times New Roman" w:cs="Times New Roman" w:eastAsia="Times New Roman" w:hAnsi="Times New Roman"/>
                <w:sz w:val="20"/>
                <w:szCs w:val="20"/>
              </w:rPr>
            </w:pPr>
            <w:r w:rsidDel="00000000" w:rsidR="00000000" w:rsidRPr="00000000">
              <w:rPr/>
              <w:drawing>
                <wp:inline distB="0" distT="0" distL="0" distR="0">
                  <wp:extent cx="1548354" cy="1620000"/>
                  <wp:effectExtent b="0" l="0" r="0" t="0"/>
                  <wp:docPr id="164" name="image66.png"/>
                  <a:graphic>
                    <a:graphicData uri="http://schemas.openxmlformats.org/drawingml/2006/picture">
                      <pic:pic>
                        <pic:nvPicPr>
                          <pic:cNvPr id="0" name="image66.png"/>
                          <pic:cNvPicPr preferRelativeResize="0"/>
                        </pic:nvPicPr>
                        <pic:blipFill>
                          <a:blip r:embed="rId83"/>
                          <a:srcRect b="0" l="25556" r="25677" t="0"/>
                          <a:stretch>
                            <a:fillRect/>
                          </a:stretch>
                        </pic:blipFill>
                        <pic:spPr>
                          <a:xfrm>
                            <a:off x="0" y="0"/>
                            <a:ext cx="1548354" cy="1620000"/>
                          </a:xfrm>
                          <a:prstGeom prst="rect"/>
                          <a:ln/>
                        </pic:spPr>
                      </pic:pic>
                    </a:graphicData>
                  </a:graphic>
                </wp:inline>
              </w:drawing>
            </w:r>
            <w:r w:rsidDel="00000000" w:rsidR="00000000" w:rsidRPr="00000000">
              <w:rPr>
                <w:rtl w:val="0"/>
              </w:rPr>
            </w:r>
          </w:p>
        </w:tc>
        <w:tc>
          <w:tcPr>
            <w:tcBorders>
              <w:left w:color="808080" w:space="0" w:sz="4" w:val="single"/>
            </w:tcBorders>
          </w:tcPr>
          <w:p w:rsidR="00000000" w:rsidDel="00000000" w:rsidP="00000000" w:rsidRDefault="00000000" w:rsidRPr="00000000" w14:paraId="00000D78">
            <w:pPr>
              <w:jc w:val="center"/>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D79">
      <w:pPr>
        <w:rPr/>
      </w:pPr>
      <w:r w:rsidDel="00000000" w:rsidR="00000000" w:rsidRPr="00000000">
        <w:rPr>
          <w:rtl w:val="0"/>
        </w:rPr>
      </w:r>
    </w:p>
    <w:p w:rsidR="00000000" w:rsidDel="00000000" w:rsidP="00000000" w:rsidRDefault="00000000" w:rsidRPr="00000000" w14:paraId="00000D7A">
      <w:pPr>
        <w:rPr/>
      </w:pPr>
      <w:r w:rsidDel="00000000" w:rsidR="00000000" w:rsidRPr="00000000">
        <w:br w:type="page"/>
      </w:r>
      <w:r w:rsidDel="00000000" w:rsidR="00000000" w:rsidRPr="00000000">
        <w:rPr>
          <w:rtl w:val="0"/>
        </w:rPr>
      </w:r>
    </w:p>
    <w:p w:rsidR="00000000" w:rsidDel="00000000" w:rsidP="00000000" w:rsidRDefault="00000000" w:rsidRPr="00000000" w14:paraId="00000D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60" w:before="120" w:line="240" w:lineRule="auto"/>
        <w:ind w:left="1134" w:right="0" w:hanging="1134"/>
        <w:jc w:val="both"/>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heading=h.3vac5uf" w:id="79"/>
      <w:bookmarkEnd w:id="79"/>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Figura 22.</w:t>
        <w:tab/>
        <w:t xml:space="preserve">Gráficos de dispersão para a autocorrelação espacial diferencial entre pares de anos da frequência absoluta de agravos a humanos por herbívoros. Feira de Santana, BA. 2008-2019.</w:t>
      </w:r>
    </w:p>
    <w:tbl>
      <w:tblPr>
        <w:tblStyle w:val="Table17"/>
        <w:tblW w:w="8494.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831"/>
        <w:gridCol w:w="2831"/>
        <w:gridCol w:w="2832"/>
        <w:tblGridChange w:id="0">
          <w:tblGrid>
            <w:gridCol w:w="2831"/>
            <w:gridCol w:w="2831"/>
            <w:gridCol w:w="2832"/>
          </w:tblGrid>
        </w:tblGridChange>
      </w:tblGrid>
      <w:tr>
        <w:trPr>
          <w:cantSplit w:val="0"/>
          <w:tblHeader w:val="0"/>
        </w:trPr>
        <w:tc>
          <w:tcPr>
            <w:tcBorders>
              <w:top w:color="808080" w:space="0" w:sz="4" w:val="single"/>
              <w:left w:color="808080" w:space="0" w:sz="4" w:val="single"/>
              <w:right w:color="808080" w:space="0" w:sz="4" w:val="single"/>
            </w:tcBorders>
          </w:tcPr>
          <w:p w:rsidR="00000000" w:rsidDel="00000000" w:rsidP="00000000" w:rsidRDefault="00000000" w:rsidRPr="00000000" w14:paraId="00000D7C">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2008 x 2009</w:t>
            </w:r>
          </w:p>
        </w:tc>
        <w:tc>
          <w:tcPr>
            <w:tcBorders>
              <w:top w:color="808080" w:space="0" w:sz="4" w:val="single"/>
              <w:left w:color="808080" w:space="0" w:sz="4" w:val="single"/>
              <w:right w:color="808080" w:space="0" w:sz="4" w:val="single"/>
            </w:tcBorders>
          </w:tcPr>
          <w:p w:rsidR="00000000" w:rsidDel="00000000" w:rsidP="00000000" w:rsidRDefault="00000000" w:rsidRPr="00000000" w14:paraId="00000D7D">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2009 x 2010</w:t>
            </w:r>
          </w:p>
        </w:tc>
        <w:tc>
          <w:tcPr>
            <w:tcBorders>
              <w:top w:color="808080" w:space="0" w:sz="4" w:val="single"/>
              <w:left w:color="808080" w:space="0" w:sz="4" w:val="single"/>
              <w:right w:color="808080" w:space="0" w:sz="4" w:val="single"/>
            </w:tcBorders>
          </w:tcPr>
          <w:p w:rsidR="00000000" w:rsidDel="00000000" w:rsidP="00000000" w:rsidRDefault="00000000" w:rsidRPr="00000000" w14:paraId="00000D7E">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2010 x 2011</w:t>
            </w:r>
          </w:p>
        </w:tc>
      </w:tr>
      <w:tr>
        <w:trPr>
          <w:cantSplit w:val="0"/>
          <w:tblHeader w:val="0"/>
        </w:trPr>
        <w:tc>
          <w:tcPr>
            <w:tcBorders>
              <w:left w:color="808080" w:space="0" w:sz="4" w:val="single"/>
              <w:bottom w:color="808080" w:space="0" w:sz="4" w:val="single"/>
              <w:right w:color="808080" w:space="0" w:sz="4" w:val="single"/>
            </w:tcBorders>
          </w:tcPr>
          <w:p w:rsidR="00000000" w:rsidDel="00000000" w:rsidP="00000000" w:rsidRDefault="00000000" w:rsidRPr="00000000" w14:paraId="00000D7F">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1563623" cy="1620000"/>
                  <wp:effectExtent b="0" l="0" r="0" t="0"/>
                  <wp:docPr descr="Gráfico, Gráfico de linhas&#10;&#10;Descrição gerada automaticamente" id="167" name="image60.png"/>
                  <a:graphic>
                    <a:graphicData uri="http://schemas.openxmlformats.org/drawingml/2006/picture">
                      <pic:pic>
                        <pic:nvPicPr>
                          <pic:cNvPr descr="Gráfico, Gráfico de linhas&#10;&#10;Descrição gerada automaticamente" id="0" name="image60.png"/>
                          <pic:cNvPicPr preferRelativeResize="0"/>
                        </pic:nvPicPr>
                        <pic:blipFill>
                          <a:blip r:embed="rId84"/>
                          <a:srcRect b="0" l="25682" r="25070" t="0"/>
                          <a:stretch>
                            <a:fillRect/>
                          </a:stretch>
                        </pic:blipFill>
                        <pic:spPr>
                          <a:xfrm>
                            <a:off x="0" y="0"/>
                            <a:ext cx="1563623" cy="1620000"/>
                          </a:xfrm>
                          <a:prstGeom prst="rect"/>
                          <a:ln/>
                        </pic:spPr>
                      </pic:pic>
                    </a:graphicData>
                  </a:graphic>
                </wp:inline>
              </w:drawing>
            </w:r>
            <w:r w:rsidDel="00000000" w:rsidR="00000000" w:rsidRPr="00000000">
              <w:rPr>
                <w:rtl w:val="0"/>
              </w:rPr>
            </w:r>
          </w:p>
        </w:tc>
        <w:tc>
          <w:tcPr>
            <w:tcBorders>
              <w:left w:color="808080" w:space="0" w:sz="4" w:val="single"/>
              <w:bottom w:color="808080" w:space="0" w:sz="4" w:val="single"/>
              <w:right w:color="808080" w:space="0" w:sz="4" w:val="single"/>
            </w:tcBorders>
          </w:tcPr>
          <w:p w:rsidR="00000000" w:rsidDel="00000000" w:rsidP="00000000" w:rsidRDefault="00000000" w:rsidRPr="00000000" w14:paraId="00000D80">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1576429" cy="1620000"/>
                  <wp:effectExtent b="0" l="0" r="0" t="0"/>
                  <wp:docPr descr="Gráfico, Gráfico de linhas&#10;&#10;Descrição gerada automaticamente" id="169" name="image61.png"/>
                  <a:graphic>
                    <a:graphicData uri="http://schemas.openxmlformats.org/drawingml/2006/picture">
                      <pic:pic>
                        <pic:nvPicPr>
                          <pic:cNvPr descr="Gráfico, Gráfico de linhas&#10;&#10;Descrição gerada automaticamente" id="0" name="image61.png"/>
                          <pic:cNvPicPr preferRelativeResize="0"/>
                        </pic:nvPicPr>
                        <pic:blipFill>
                          <a:blip r:embed="rId85"/>
                          <a:srcRect b="0" l="25015" r="25334" t="0"/>
                          <a:stretch>
                            <a:fillRect/>
                          </a:stretch>
                        </pic:blipFill>
                        <pic:spPr>
                          <a:xfrm>
                            <a:off x="0" y="0"/>
                            <a:ext cx="1576429" cy="1620000"/>
                          </a:xfrm>
                          <a:prstGeom prst="rect"/>
                          <a:ln/>
                        </pic:spPr>
                      </pic:pic>
                    </a:graphicData>
                  </a:graphic>
                </wp:inline>
              </w:drawing>
            </w:r>
            <w:r w:rsidDel="00000000" w:rsidR="00000000" w:rsidRPr="00000000">
              <w:rPr>
                <w:rtl w:val="0"/>
              </w:rPr>
            </w:r>
          </w:p>
        </w:tc>
        <w:tc>
          <w:tcPr>
            <w:tcBorders>
              <w:left w:color="808080" w:space="0" w:sz="4" w:val="single"/>
              <w:bottom w:color="808080" w:space="0" w:sz="4" w:val="single"/>
              <w:right w:color="808080" w:space="0" w:sz="4" w:val="single"/>
            </w:tcBorders>
          </w:tcPr>
          <w:p w:rsidR="00000000" w:rsidDel="00000000" w:rsidP="00000000" w:rsidRDefault="00000000" w:rsidRPr="00000000" w14:paraId="00000D81">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1551833" cy="1620000"/>
                  <wp:effectExtent b="0" l="0" r="0" t="0"/>
                  <wp:docPr descr="Gráfico, Gráfico de linhas&#10;&#10;Descrição gerada automaticamente" id="171" name="image62.png"/>
                  <a:graphic>
                    <a:graphicData uri="http://schemas.openxmlformats.org/drawingml/2006/picture">
                      <pic:pic>
                        <pic:nvPicPr>
                          <pic:cNvPr descr="Gráfico, Gráfico de linhas&#10;&#10;Descrição gerada automaticamente" id="0" name="image62.png"/>
                          <pic:cNvPicPr preferRelativeResize="0"/>
                        </pic:nvPicPr>
                        <pic:blipFill>
                          <a:blip r:embed="rId86"/>
                          <a:srcRect b="0" l="25528" r="25596" t="0"/>
                          <a:stretch>
                            <a:fillRect/>
                          </a:stretch>
                        </pic:blipFill>
                        <pic:spPr>
                          <a:xfrm>
                            <a:off x="0" y="0"/>
                            <a:ext cx="1551833" cy="1620000"/>
                          </a:xfrm>
                          <a:prstGeom prst="rect"/>
                          <a:ln/>
                        </pic:spPr>
                      </pic:pic>
                    </a:graphicData>
                  </a:graphic>
                </wp:inline>
              </w:drawing>
            </w:r>
            <w:r w:rsidDel="00000000" w:rsidR="00000000" w:rsidRPr="00000000">
              <w:rPr>
                <w:rtl w:val="0"/>
              </w:rPr>
            </w:r>
          </w:p>
        </w:tc>
      </w:tr>
      <w:tr>
        <w:trPr>
          <w:cantSplit w:val="0"/>
          <w:tblHeader w:val="0"/>
        </w:trPr>
        <w:tc>
          <w:tcPr>
            <w:tcBorders>
              <w:top w:color="808080" w:space="0" w:sz="4" w:val="single"/>
              <w:left w:color="808080" w:space="0" w:sz="4" w:val="single"/>
              <w:right w:color="808080" w:space="0" w:sz="4" w:val="single"/>
            </w:tcBorders>
          </w:tcPr>
          <w:p w:rsidR="00000000" w:rsidDel="00000000" w:rsidP="00000000" w:rsidRDefault="00000000" w:rsidRPr="00000000" w14:paraId="00000D82">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2011 x 2012</w:t>
            </w:r>
          </w:p>
        </w:tc>
        <w:tc>
          <w:tcPr>
            <w:tcBorders>
              <w:top w:color="808080" w:space="0" w:sz="4" w:val="single"/>
              <w:left w:color="808080" w:space="0" w:sz="4" w:val="single"/>
              <w:right w:color="808080" w:space="0" w:sz="4" w:val="single"/>
            </w:tcBorders>
          </w:tcPr>
          <w:p w:rsidR="00000000" w:rsidDel="00000000" w:rsidP="00000000" w:rsidRDefault="00000000" w:rsidRPr="00000000" w14:paraId="00000D83">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2012 x 2013</w:t>
            </w:r>
          </w:p>
        </w:tc>
        <w:tc>
          <w:tcPr>
            <w:tcBorders>
              <w:top w:color="808080" w:space="0" w:sz="4" w:val="single"/>
              <w:left w:color="808080" w:space="0" w:sz="4" w:val="single"/>
              <w:right w:color="808080" w:space="0" w:sz="4" w:val="single"/>
            </w:tcBorders>
          </w:tcPr>
          <w:p w:rsidR="00000000" w:rsidDel="00000000" w:rsidP="00000000" w:rsidRDefault="00000000" w:rsidRPr="00000000" w14:paraId="00000D84">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2013 x 2014</w:t>
            </w:r>
          </w:p>
        </w:tc>
      </w:tr>
      <w:tr>
        <w:trPr>
          <w:cantSplit w:val="0"/>
          <w:tblHeader w:val="0"/>
        </w:trPr>
        <w:tc>
          <w:tcPr>
            <w:tcBorders>
              <w:left w:color="808080" w:space="0" w:sz="4" w:val="single"/>
              <w:bottom w:color="808080" w:space="0" w:sz="4" w:val="single"/>
              <w:right w:color="808080" w:space="0" w:sz="4" w:val="single"/>
            </w:tcBorders>
          </w:tcPr>
          <w:p w:rsidR="00000000" w:rsidDel="00000000" w:rsidP="00000000" w:rsidRDefault="00000000" w:rsidRPr="00000000" w14:paraId="00000D85">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1584622" cy="1620000"/>
                  <wp:effectExtent b="0" l="0" r="0" t="0"/>
                  <wp:docPr descr="Gráfico, Gráfico de linhas, Gráfico de dispersão&#10;&#10;Descrição gerada automaticamente" id="150" name="image51.png"/>
                  <a:graphic>
                    <a:graphicData uri="http://schemas.openxmlformats.org/drawingml/2006/picture">
                      <pic:pic>
                        <pic:nvPicPr>
                          <pic:cNvPr descr="Gráfico, Gráfico de linhas, Gráfico de dispersão&#10;&#10;Descrição gerada automaticamente" id="0" name="image51.png"/>
                          <pic:cNvPicPr preferRelativeResize="0"/>
                        </pic:nvPicPr>
                        <pic:blipFill>
                          <a:blip r:embed="rId87"/>
                          <a:srcRect b="0" l="25272" r="24819" t="0"/>
                          <a:stretch>
                            <a:fillRect/>
                          </a:stretch>
                        </pic:blipFill>
                        <pic:spPr>
                          <a:xfrm>
                            <a:off x="0" y="0"/>
                            <a:ext cx="1584622" cy="1620000"/>
                          </a:xfrm>
                          <a:prstGeom prst="rect"/>
                          <a:ln/>
                        </pic:spPr>
                      </pic:pic>
                    </a:graphicData>
                  </a:graphic>
                </wp:inline>
              </w:drawing>
            </w:r>
            <w:r w:rsidDel="00000000" w:rsidR="00000000" w:rsidRPr="00000000">
              <w:rPr>
                <w:rtl w:val="0"/>
              </w:rPr>
            </w:r>
          </w:p>
        </w:tc>
        <w:tc>
          <w:tcPr>
            <w:tcBorders>
              <w:left w:color="808080" w:space="0" w:sz="4" w:val="single"/>
              <w:bottom w:color="808080" w:space="0" w:sz="4" w:val="single"/>
              <w:right w:color="808080" w:space="0" w:sz="4" w:val="single"/>
            </w:tcBorders>
          </w:tcPr>
          <w:p w:rsidR="00000000" w:rsidDel="00000000" w:rsidP="00000000" w:rsidRDefault="00000000" w:rsidRPr="00000000" w14:paraId="00000D86">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1551901" cy="1620000"/>
                  <wp:effectExtent b="0" l="0" r="0" t="0"/>
                  <wp:docPr descr="Gráfico, Gráfico de linhas&#10;&#10;Descrição gerada automaticamente" id="128" name="image34.png"/>
                  <a:graphic>
                    <a:graphicData uri="http://schemas.openxmlformats.org/drawingml/2006/picture">
                      <pic:pic>
                        <pic:nvPicPr>
                          <pic:cNvPr descr="Gráfico, Gráfico de linhas&#10;&#10;Descrição gerada automaticamente" id="0" name="image34.png"/>
                          <pic:cNvPicPr preferRelativeResize="0"/>
                        </pic:nvPicPr>
                        <pic:blipFill>
                          <a:blip r:embed="rId88"/>
                          <a:srcRect b="0" l="25913" r="25209" t="0"/>
                          <a:stretch>
                            <a:fillRect/>
                          </a:stretch>
                        </pic:blipFill>
                        <pic:spPr>
                          <a:xfrm>
                            <a:off x="0" y="0"/>
                            <a:ext cx="1551901" cy="1620000"/>
                          </a:xfrm>
                          <a:prstGeom prst="rect"/>
                          <a:ln/>
                        </pic:spPr>
                      </pic:pic>
                    </a:graphicData>
                  </a:graphic>
                </wp:inline>
              </w:drawing>
            </w:r>
            <w:r w:rsidDel="00000000" w:rsidR="00000000" w:rsidRPr="00000000">
              <w:rPr>
                <w:rtl w:val="0"/>
              </w:rPr>
            </w:r>
          </w:p>
        </w:tc>
        <w:tc>
          <w:tcPr>
            <w:tcBorders>
              <w:left w:color="808080" w:space="0" w:sz="4" w:val="single"/>
              <w:bottom w:color="808080" w:space="0" w:sz="4" w:val="single"/>
              <w:right w:color="808080" w:space="0" w:sz="4" w:val="single"/>
            </w:tcBorders>
          </w:tcPr>
          <w:p w:rsidR="00000000" w:rsidDel="00000000" w:rsidP="00000000" w:rsidRDefault="00000000" w:rsidRPr="00000000" w14:paraId="00000D87">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1568103" cy="1620000"/>
                  <wp:effectExtent b="0" l="0" r="0" t="0"/>
                  <wp:docPr descr="Gráfico, Gráfico de dispersão&#10;&#10;Descrição gerada automaticamente" id="129" name="image17.png"/>
                  <a:graphic>
                    <a:graphicData uri="http://schemas.openxmlformats.org/drawingml/2006/picture">
                      <pic:pic>
                        <pic:nvPicPr>
                          <pic:cNvPr descr="Gráfico, Gráfico de dispersão&#10;&#10;Descrição gerada automaticamente" id="0" name="image17.png"/>
                          <pic:cNvPicPr preferRelativeResize="0"/>
                        </pic:nvPicPr>
                        <pic:blipFill>
                          <a:blip r:embed="rId78"/>
                          <a:srcRect b="-13" l="25272" r="25332" t="0"/>
                          <a:stretch>
                            <a:fillRect/>
                          </a:stretch>
                        </pic:blipFill>
                        <pic:spPr>
                          <a:xfrm>
                            <a:off x="0" y="0"/>
                            <a:ext cx="1568103" cy="1620000"/>
                          </a:xfrm>
                          <a:prstGeom prst="rect"/>
                          <a:ln/>
                        </pic:spPr>
                      </pic:pic>
                    </a:graphicData>
                  </a:graphic>
                </wp:inline>
              </w:drawing>
            </w:r>
            <w:r w:rsidDel="00000000" w:rsidR="00000000" w:rsidRPr="00000000">
              <w:rPr>
                <w:rtl w:val="0"/>
              </w:rPr>
            </w:r>
          </w:p>
        </w:tc>
      </w:tr>
      <w:tr>
        <w:trPr>
          <w:cantSplit w:val="0"/>
          <w:tblHeader w:val="0"/>
        </w:trPr>
        <w:tc>
          <w:tcPr>
            <w:tcBorders>
              <w:top w:color="808080" w:space="0" w:sz="4" w:val="single"/>
              <w:left w:color="808080" w:space="0" w:sz="4" w:val="single"/>
              <w:right w:color="808080" w:space="0" w:sz="4" w:val="single"/>
            </w:tcBorders>
          </w:tcPr>
          <w:p w:rsidR="00000000" w:rsidDel="00000000" w:rsidP="00000000" w:rsidRDefault="00000000" w:rsidRPr="00000000" w14:paraId="00000D88">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2014 x 2015</w:t>
            </w:r>
          </w:p>
        </w:tc>
        <w:tc>
          <w:tcPr>
            <w:tcBorders>
              <w:top w:color="808080" w:space="0" w:sz="4" w:val="single"/>
              <w:left w:color="808080" w:space="0" w:sz="4" w:val="single"/>
              <w:right w:color="808080" w:space="0" w:sz="4" w:val="single"/>
            </w:tcBorders>
          </w:tcPr>
          <w:p w:rsidR="00000000" w:rsidDel="00000000" w:rsidP="00000000" w:rsidRDefault="00000000" w:rsidRPr="00000000" w14:paraId="00000D89">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2015 x 2016</w:t>
            </w:r>
          </w:p>
        </w:tc>
        <w:tc>
          <w:tcPr>
            <w:tcBorders>
              <w:top w:color="808080" w:space="0" w:sz="4" w:val="single"/>
              <w:left w:color="808080" w:space="0" w:sz="4" w:val="single"/>
              <w:right w:color="808080" w:space="0" w:sz="4" w:val="single"/>
            </w:tcBorders>
          </w:tcPr>
          <w:p w:rsidR="00000000" w:rsidDel="00000000" w:rsidP="00000000" w:rsidRDefault="00000000" w:rsidRPr="00000000" w14:paraId="00000D8A">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2016 x 2017</w:t>
            </w:r>
          </w:p>
        </w:tc>
      </w:tr>
      <w:tr>
        <w:trPr>
          <w:cantSplit w:val="0"/>
          <w:tblHeader w:val="0"/>
        </w:trPr>
        <w:tc>
          <w:tcPr>
            <w:tcBorders>
              <w:left w:color="808080" w:space="0" w:sz="4" w:val="single"/>
              <w:bottom w:color="808080" w:space="0" w:sz="4" w:val="single"/>
              <w:right w:color="808080" w:space="0" w:sz="4" w:val="single"/>
            </w:tcBorders>
          </w:tcPr>
          <w:p w:rsidR="00000000" w:rsidDel="00000000" w:rsidP="00000000" w:rsidRDefault="00000000" w:rsidRPr="00000000" w14:paraId="00000D8B">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1560002" cy="1620000"/>
                  <wp:effectExtent b="0" l="0" r="0" t="0"/>
                  <wp:docPr descr="Gráfico, Gráfico de linhas&#10;&#10;Descrição gerada automaticamente" id="130" name="image24.png"/>
                  <a:graphic>
                    <a:graphicData uri="http://schemas.openxmlformats.org/drawingml/2006/picture">
                      <pic:pic>
                        <pic:nvPicPr>
                          <pic:cNvPr descr="Gráfico, Gráfico de linhas&#10;&#10;Descrição gerada automaticamente" id="0" name="image24.png"/>
                          <pic:cNvPicPr preferRelativeResize="0"/>
                        </pic:nvPicPr>
                        <pic:blipFill>
                          <a:blip r:embed="rId89"/>
                          <a:srcRect b="0" l="25655" r="25210" t="0"/>
                          <a:stretch>
                            <a:fillRect/>
                          </a:stretch>
                        </pic:blipFill>
                        <pic:spPr>
                          <a:xfrm>
                            <a:off x="0" y="0"/>
                            <a:ext cx="1560002" cy="1620000"/>
                          </a:xfrm>
                          <a:prstGeom prst="rect"/>
                          <a:ln/>
                        </pic:spPr>
                      </pic:pic>
                    </a:graphicData>
                  </a:graphic>
                </wp:inline>
              </w:drawing>
            </w:r>
            <w:r w:rsidDel="00000000" w:rsidR="00000000" w:rsidRPr="00000000">
              <w:rPr>
                <w:rtl w:val="0"/>
              </w:rPr>
            </w:r>
          </w:p>
        </w:tc>
        <w:tc>
          <w:tcPr>
            <w:tcBorders>
              <w:left w:color="808080" w:space="0" w:sz="4" w:val="single"/>
              <w:bottom w:color="808080" w:space="0" w:sz="4" w:val="single"/>
              <w:right w:color="808080" w:space="0" w:sz="4" w:val="single"/>
            </w:tcBorders>
          </w:tcPr>
          <w:p w:rsidR="00000000" w:rsidDel="00000000" w:rsidP="00000000" w:rsidRDefault="00000000" w:rsidRPr="00000000" w14:paraId="00000D8C">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1568126" cy="1620000"/>
                  <wp:effectExtent b="0" l="0" r="0" t="0"/>
                  <wp:docPr descr="Gráfico&#10;&#10;Descrição gerada automaticamente" id="132" name="image39.png"/>
                  <a:graphic>
                    <a:graphicData uri="http://schemas.openxmlformats.org/drawingml/2006/picture">
                      <pic:pic>
                        <pic:nvPicPr>
                          <pic:cNvPr descr="Gráfico&#10;&#10;Descrição gerada automaticamente" id="0" name="image39.png"/>
                          <pic:cNvPicPr preferRelativeResize="0"/>
                        </pic:nvPicPr>
                        <pic:blipFill>
                          <a:blip r:embed="rId90"/>
                          <a:srcRect b="0" l="25527" r="25083" t="0"/>
                          <a:stretch>
                            <a:fillRect/>
                          </a:stretch>
                        </pic:blipFill>
                        <pic:spPr>
                          <a:xfrm>
                            <a:off x="0" y="0"/>
                            <a:ext cx="1568126" cy="1620000"/>
                          </a:xfrm>
                          <a:prstGeom prst="rect"/>
                          <a:ln/>
                        </pic:spPr>
                      </pic:pic>
                    </a:graphicData>
                  </a:graphic>
                </wp:inline>
              </w:drawing>
            </w:r>
            <w:r w:rsidDel="00000000" w:rsidR="00000000" w:rsidRPr="00000000">
              <w:rPr>
                <w:rtl w:val="0"/>
              </w:rPr>
            </w:r>
          </w:p>
        </w:tc>
        <w:tc>
          <w:tcPr>
            <w:tcBorders>
              <w:left w:color="808080" w:space="0" w:sz="4" w:val="single"/>
              <w:bottom w:color="808080" w:space="0" w:sz="4" w:val="single"/>
              <w:right w:color="808080" w:space="0" w:sz="4" w:val="single"/>
            </w:tcBorders>
          </w:tcPr>
          <w:p w:rsidR="00000000" w:rsidDel="00000000" w:rsidP="00000000" w:rsidRDefault="00000000" w:rsidRPr="00000000" w14:paraId="00000D8D">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1584395" cy="1620000"/>
                  <wp:effectExtent b="0" l="0" r="0" t="0"/>
                  <wp:docPr descr="Gráfico, Gráfico de caixa estreita&#10;&#10;Descrição gerada automaticamente" id="134" name="image26.png"/>
                  <a:graphic>
                    <a:graphicData uri="http://schemas.openxmlformats.org/drawingml/2006/picture">
                      <pic:pic>
                        <pic:nvPicPr>
                          <pic:cNvPr descr="Gráfico, Gráfico de caixa estreita&#10;&#10;Descrição gerada automaticamente" id="0" name="image26.png"/>
                          <pic:cNvPicPr preferRelativeResize="0"/>
                        </pic:nvPicPr>
                        <pic:blipFill>
                          <a:blip r:embed="rId91"/>
                          <a:srcRect b="316" l="24758" r="25340" t="-316"/>
                          <a:stretch>
                            <a:fillRect/>
                          </a:stretch>
                        </pic:blipFill>
                        <pic:spPr>
                          <a:xfrm>
                            <a:off x="0" y="0"/>
                            <a:ext cx="1584395" cy="1620000"/>
                          </a:xfrm>
                          <a:prstGeom prst="rect"/>
                          <a:ln/>
                        </pic:spPr>
                      </pic:pic>
                    </a:graphicData>
                  </a:graphic>
                </wp:inline>
              </w:drawing>
            </w:r>
            <w:r w:rsidDel="00000000" w:rsidR="00000000" w:rsidRPr="00000000">
              <w:rPr>
                <w:rtl w:val="0"/>
              </w:rPr>
            </w:r>
          </w:p>
        </w:tc>
      </w:tr>
      <w:tr>
        <w:trPr>
          <w:cantSplit w:val="0"/>
          <w:tblHeader w:val="0"/>
        </w:trPr>
        <w:tc>
          <w:tcPr>
            <w:tcBorders>
              <w:top w:color="808080" w:space="0" w:sz="4" w:val="single"/>
              <w:left w:color="808080" w:space="0" w:sz="4" w:val="single"/>
              <w:right w:color="808080" w:space="0" w:sz="4" w:val="single"/>
            </w:tcBorders>
          </w:tcPr>
          <w:p w:rsidR="00000000" w:rsidDel="00000000" w:rsidP="00000000" w:rsidRDefault="00000000" w:rsidRPr="00000000" w14:paraId="00000D8E">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2017 x 2018</w:t>
            </w:r>
          </w:p>
        </w:tc>
        <w:tc>
          <w:tcPr>
            <w:tcBorders>
              <w:top w:color="808080" w:space="0" w:sz="4" w:val="single"/>
              <w:left w:color="808080" w:space="0" w:sz="4" w:val="single"/>
              <w:right w:color="808080" w:space="0" w:sz="4" w:val="single"/>
            </w:tcBorders>
          </w:tcPr>
          <w:p w:rsidR="00000000" w:rsidDel="00000000" w:rsidP="00000000" w:rsidRDefault="00000000" w:rsidRPr="00000000" w14:paraId="00000D8F">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2018x 2019</w:t>
            </w:r>
          </w:p>
        </w:tc>
        <w:tc>
          <w:tcPr>
            <w:tcBorders>
              <w:top w:color="808080" w:space="0" w:sz="4" w:val="single"/>
              <w:left w:color="808080" w:space="0" w:sz="4" w:val="single"/>
            </w:tcBorders>
          </w:tcPr>
          <w:p w:rsidR="00000000" w:rsidDel="00000000" w:rsidP="00000000" w:rsidRDefault="00000000" w:rsidRPr="00000000" w14:paraId="00000D90">
            <w:pPr>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tcBorders>
              <w:left w:color="808080" w:space="0" w:sz="4" w:val="single"/>
              <w:bottom w:color="808080" w:space="0" w:sz="4" w:val="single"/>
              <w:right w:color="808080" w:space="0" w:sz="4" w:val="single"/>
            </w:tcBorders>
          </w:tcPr>
          <w:p w:rsidR="00000000" w:rsidDel="00000000" w:rsidP="00000000" w:rsidRDefault="00000000" w:rsidRPr="00000000" w14:paraId="00000D91">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1556107" cy="1620000"/>
                  <wp:effectExtent b="0" l="0" r="0" t="0"/>
                  <wp:docPr descr="Gráfico&#10;&#10;Descrição gerada automaticamente" id="136" name="image28.png"/>
                  <a:graphic>
                    <a:graphicData uri="http://schemas.openxmlformats.org/drawingml/2006/picture">
                      <pic:pic>
                        <pic:nvPicPr>
                          <pic:cNvPr descr="Gráfico&#10;&#10;Descrição gerada automaticamente" id="0" name="image28.png"/>
                          <pic:cNvPicPr preferRelativeResize="0"/>
                        </pic:nvPicPr>
                        <pic:blipFill>
                          <a:blip r:embed="rId92"/>
                          <a:srcRect b="0" l="25271" r="25718" t="0"/>
                          <a:stretch>
                            <a:fillRect/>
                          </a:stretch>
                        </pic:blipFill>
                        <pic:spPr>
                          <a:xfrm>
                            <a:off x="0" y="0"/>
                            <a:ext cx="1556107" cy="1620000"/>
                          </a:xfrm>
                          <a:prstGeom prst="rect"/>
                          <a:ln/>
                        </pic:spPr>
                      </pic:pic>
                    </a:graphicData>
                  </a:graphic>
                </wp:inline>
              </w:drawing>
            </w:r>
            <w:r w:rsidDel="00000000" w:rsidR="00000000" w:rsidRPr="00000000">
              <w:rPr>
                <w:rtl w:val="0"/>
              </w:rPr>
            </w:r>
          </w:p>
        </w:tc>
        <w:tc>
          <w:tcPr>
            <w:tcBorders>
              <w:left w:color="808080" w:space="0" w:sz="4" w:val="single"/>
              <w:bottom w:color="808080" w:space="0" w:sz="4" w:val="single"/>
              <w:right w:color="808080" w:space="0" w:sz="4" w:val="single"/>
            </w:tcBorders>
          </w:tcPr>
          <w:p w:rsidR="00000000" w:rsidDel="00000000" w:rsidP="00000000" w:rsidRDefault="00000000" w:rsidRPr="00000000" w14:paraId="00000D92">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1551856" cy="1620000"/>
                  <wp:effectExtent b="0" l="0" r="0" t="0"/>
                  <wp:docPr descr="Gráfico, Gráfico de linhas&#10;&#10;Descrição gerada automaticamente" id="138" name="image54.png"/>
                  <a:graphic>
                    <a:graphicData uri="http://schemas.openxmlformats.org/drawingml/2006/picture">
                      <pic:pic>
                        <pic:nvPicPr>
                          <pic:cNvPr descr="Gráfico, Gráfico de linhas&#10;&#10;Descrição gerada automaticamente" id="0" name="image54.png"/>
                          <pic:cNvPicPr preferRelativeResize="0"/>
                        </pic:nvPicPr>
                        <pic:blipFill>
                          <a:blip r:embed="rId93"/>
                          <a:srcRect b="0" l="25656" r="25466" t="0"/>
                          <a:stretch>
                            <a:fillRect/>
                          </a:stretch>
                        </pic:blipFill>
                        <pic:spPr>
                          <a:xfrm>
                            <a:off x="0" y="0"/>
                            <a:ext cx="1551856" cy="1620000"/>
                          </a:xfrm>
                          <a:prstGeom prst="rect"/>
                          <a:ln/>
                        </pic:spPr>
                      </pic:pic>
                    </a:graphicData>
                  </a:graphic>
                </wp:inline>
              </w:drawing>
            </w:r>
            <w:r w:rsidDel="00000000" w:rsidR="00000000" w:rsidRPr="00000000">
              <w:rPr>
                <w:rtl w:val="0"/>
              </w:rPr>
            </w:r>
          </w:p>
        </w:tc>
        <w:tc>
          <w:tcPr>
            <w:tcBorders>
              <w:left w:color="808080" w:space="0" w:sz="4" w:val="single"/>
            </w:tcBorders>
          </w:tcPr>
          <w:p w:rsidR="00000000" w:rsidDel="00000000" w:rsidP="00000000" w:rsidRDefault="00000000" w:rsidRPr="00000000" w14:paraId="00000D93">
            <w:pPr>
              <w:jc w:val="center"/>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D94">
      <w:pPr>
        <w:rPr/>
      </w:pPr>
      <w:r w:rsidDel="00000000" w:rsidR="00000000" w:rsidRPr="00000000">
        <w:rPr>
          <w:rtl w:val="0"/>
        </w:rPr>
      </w:r>
    </w:p>
    <w:p w:rsidR="00000000" w:rsidDel="00000000" w:rsidP="00000000" w:rsidRDefault="00000000" w:rsidRPr="00000000" w14:paraId="00000D95">
      <w:pPr>
        <w:rPr/>
      </w:pPr>
      <w:r w:rsidDel="00000000" w:rsidR="00000000" w:rsidRPr="00000000">
        <w:br w:type="page"/>
      </w:r>
      <w:r w:rsidDel="00000000" w:rsidR="00000000" w:rsidRPr="00000000">
        <w:rPr>
          <w:rtl w:val="0"/>
        </w:rPr>
      </w:r>
    </w:p>
    <w:p w:rsidR="00000000" w:rsidDel="00000000" w:rsidP="00000000" w:rsidRDefault="00000000" w:rsidRPr="00000000" w14:paraId="00000D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60" w:before="120" w:line="240" w:lineRule="auto"/>
        <w:ind w:left="1134" w:right="0" w:hanging="1134"/>
        <w:jc w:val="both"/>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heading=h.2afmg28" w:id="80"/>
      <w:bookmarkEnd w:id="80"/>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Figura 23.</w:t>
        <w:tab/>
        <w:t xml:space="preserve">Gráficos de dispersão para a autocorrelação espacial diferencial entre pares de anos da frequência absoluta de agravos a humanos por silvestres e sinantrópicos. Feira de Santana, BA. 2008-2019.</w:t>
      </w:r>
    </w:p>
    <w:tbl>
      <w:tblPr>
        <w:tblStyle w:val="Table18"/>
        <w:tblW w:w="8494.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831"/>
        <w:gridCol w:w="2831"/>
        <w:gridCol w:w="2832"/>
        <w:tblGridChange w:id="0">
          <w:tblGrid>
            <w:gridCol w:w="2831"/>
            <w:gridCol w:w="2831"/>
            <w:gridCol w:w="2832"/>
          </w:tblGrid>
        </w:tblGridChange>
      </w:tblGrid>
      <w:tr>
        <w:trPr>
          <w:cantSplit w:val="0"/>
          <w:tblHeader w:val="0"/>
        </w:trPr>
        <w:tc>
          <w:tcPr>
            <w:tcBorders>
              <w:top w:color="808080" w:space="0" w:sz="4" w:val="single"/>
              <w:left w:color="808080" w:space="0" w:sz="4" w:val="single"/>
              <w:right w:color="808080" w:space="0" w:sz="4" w:val="single"/>
            </w:tcBorders>
          </w:tcPr>
          <w:p w:rsidR="00000000" w:rsidDel="00000000" w:rsidP="00000000" w:rsidRDefault="00000000" w:rsidRPr="00000000" w14:paraId="00000D97">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2008 x 2009</w:t>
            </w:r>
          </w:p>
        </w:tc>
        <w:tc>
          <w:tcPr>
            <w:tcBorders>
              <w:top w:color="808080" w:space="0" w:sz="4" w:val="single"/>
              <w:left w:color="808080" w:space="0" w:sz="4" w:val="single"/>
              <w:right w:color="808080" w:space="0" w:sz="4" w:val="single"/>
            </w:tcBorders>
          </w:tcPr>
          <w:p w:rsidR="00000000" w:rsidDel="00000000" w:rsidP="00000000" w:rsidRDefault="00000000" w:rsidRPr="00000000" w14:paraId="00000D98">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2009 x 2010</w:t>
            </w:r>
          </w:p>
        </w:tc>
        <w:tc>
          <w:tcPr>
            <w:tcBorders>
              <w:top w:color="808080" w:space="0" w:sz="4" w:val="single"/>
              <w:left w:color="808080" w:space="0" w:sz="4" w:val="single"/>
              <w:right w:color="808080" w:space="0" w:sz="4" w:val="single"/>
            </w:tcBorders>
          </w:tcPr>
          <w:p w:rsidR="00000000" w:rsidDel="00000000" w:rsidP="00000000" w:rsidRDefault="00000000" w:rsidRPr="00000000" w14:paraId="00000D99">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2010 x 2011</w:t>
            </w:r>
          </w:p>
        </w:tc>
      </w:tr>
      <w:tr>
        <w:trPr>
          <w:cantSplit w:val="0"/>
          <w:tblHeader w:val="0"/>
        </w:trPr>
        <w:tc>
          <w:tcPr>
            <w:tcBorders>
              <w:left w:color="808080" w:space="0" w:sz="4" w:val="single"/>
              <w:bottom w:color="808080" w:space="0" w:sz="4" w:val="single"/>
              <w:right w:color="808080" w:space="0" w:sz="4" w:val="single"/>
            </w:tcBorders>
          </w:tcPr>
          <w:p w:rsidR="00000000" w:rsidDel="00000000" w:rsidP="00000000" w:rsidRDefault="00000000" w:rsidRPr="00000000" w14:paraId="00000D9A">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1523300" cy="1620000"/>
                  <wp:effectExtent b="0" l="0" r="0" t="0"/>
                  <wp:docPr descr="Gráfico, Gráfico de linhas&#10;&#10;Descrição gerada automaticamente" id="140" name="image35.png"/>
                  <a:graphic>
                    <a:graphicData uri="http://schemas.openxmlformats.org/drawingml/2006/picture">
                      <pic:pic>
                        <pic:nvPicPr>
                          <pic:cNvPr descr="Gráfico, Gráfico de linhas&#10;&#10;Descrição gerada automaticamente" id="0" name="image35.png"/>
                          <pic:cNvPicPr preferRelativeResize="0"/>
                        </pic:nvPicPr>
                        <pic:blipFill>
                          <a:blip r:embed="rId94"/>
                          <a:srcRect b="0" l="25541" r="26480" t="0"/>
                          <a:stretch>
                            <a:fillRect/>
                          </a:stretch>
                        </pic:blipFill>
                        <pic:spPr>
                          <a:xfrm>
                            <a:off x="0" y="0"/>
                            <a:ext cx="1523300" cy="1620000"/>
                          </a:xfrm>
                          <a:prstGeom prst="rect"/>
                          <a:ln/>
                        </pic:spPr>
                      </pic:pic>
                    </a:graphicData>
                  </a:graphic>
                </wp:inline>
              </w:drawing>
            </w:r>
            <w:r w:rsidDel="00000000" w:rsidR="00000000" w:rsidRPr="00000000">
              <w:rPr>
                <w:rtl w:val="0"/>
              </w:rPr>
            </w:r>
          </w:p>
        </w:tc>
        <w:tc>
          <w:tcPr>
            <w:tcBorders>
              <w:left w:color="808080" w:space="0" w:sz="4" w:val="single"/>
              <w:bottom w:color="808080" w:space="0" w:sz="4" w:val="single"/>
              <w:right w:color="808080" w:space="0" w:sz="4" w:val="single"/>
            </w:tcBorders>
          </w:tcPr>
          <w:p w:rsidR="00000000" w:rsidDel="00000000" w:rsidP="00000000" w:rsidRDefault="00000000" w:rsidRPr="00000000" w14:paraId="00000D9B">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1559143" cy="1620000"/>
                  <wp:effectExtent b="0" l="0" r="0" t="0"/>
                  <wp:docPr descr="Gráfico, Gráfico de linhas&#10;&#10;Descrição gerada automaticamente" id="142" name="image36.png"/>
                  <a:graphic>
                    <a:graphicData uri="http://schemas.openxmlformats.org/drawingml/2006/picture">
                      <pic:pic>
                        <pic:nvPicPr>
                          <pic:cNvPr descr="Gráfico, Gráfico de linhas&#10;&#10;Descrição gerada automaticamente" id="0" name="image36.png"/>
                          <pic:cNvPicPr preferRelativeResize="0"/>
                        </pic:nvPicPr>
                        <pic:blipFill>
                          <a:blip r:embed="rId95"/>
                          <a:srcRect b="0" l="25399" r="25494" t="0"/>
                          <a:stretch>
                            <a:fillRect/>
                          </a:stretch>
                        </pic:blipFill>
                        <pic:spPr>
                          <a:xfrm>
                            <a:off x="0" y="0"/>
                            <a:ext cx="1559143" cy="1620000"/>
                          </a:xfrm>
                          <a:prstGeom prst="rect"/>
                          <a:ln/>
                        </pic:spPr>
                      </pic:pic>
                    </a:graphicData>
                  </a:graphic>
                </wp:inline>
              </w:drawing>
            </w:r>
            <w:r w:rsidDel="00000000" w:rsidR="00000000" w:rsidRPr="00000000">
              <w:rPr>
                <w:rtl w:val="0"/>
              </w:rPr>
            </w:r>
          </w:p>
        </w:tc>
        <w:tc>
          <w:tcPr>
            <w:tcBorders>
              <w:left w:color="808080" w:space="0" w:sz="4" w:val="single"/>
              <w:bottom w:color="808080" w:space="0" w:sz="4" w:val="single"/>
              <w:right w:color="808080" w:space="0" w:sz="4" w:val="single"/>
            </w:tcBorders>
          </w:tcPr>
          <w:p w:rsidR="00000000" w:rsidDel="00000000" w:rsidP="00000000" w:rsidRDefault="00000000" w:rsidRPr="00000000" w14:paraId="00000D9C">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1572584" cy="1620000"/>
                  <wp:effectExtent b="0" l="0" r="0" t="0"/>
                  <wp:docPr descr="Gráfico, Gráfico de linhas&#10;&#10;Descrição gerada automaticamente" id="126" name="image22.png"/>
                  <a:graphic>
                    <a:graphicData uri="http://schemas.openxmlformats.org/drawingml/2006/picture">
                      <pic:pic>
                        <pic:nvPicPr>
                          <pic:cNvPr descr="Gráfico, Gráfico de linhas&#10;&#10;Descrição gerada automaticamente" id="0" name="image22.png"/>
                          <pic:cNvPicPr preferRelativeResize="0"/>
                        </pic:nvPicPr>
                        <pic:blipFill>
                          <a:blip r:embed="rId96"/>
                          <a:srcRect b="0" l="24977" r="25494" t="0"/>
                          <a:stretch>
                            <a:fillRect/>
                          </a:stretch>
                        </pic:blipFill>
                        <pic:spPr>
                          <a:xfrm>
                            <a:off x="0" y="0"/>
                            <a:ext cx="1572584" cy="1620000"/>
                          </a:xfrm>
                          <a:prstGeom prst="rect"/>
                          <a:ln/>
                        </pic:spPr>
                      </pic:pic>
                    </a:graphicData>
                  </a:graphic>
                </wp:inline>
              </w:drawing>
            </w:r>
            <w:r w:rsidDel="00000000" w:rsidR="00000000" w:rsidRPr="00000000">
              <w:rPr>
                <w:rtl w:val="0"/>
              </w:rPr>
            </w:r>
          </w:p>
        </w:tc>
      </w:tr>
      <w:tr>
        <w:trPr>
          <w:cantSplit w:val="0"/>
          <w:tblHeader w:val="0"/>
        </w:trPr>
        <w:tc>
          <w:tcPr>
            <w:tcBorders>
              <w:top w:color="808080" w:space="0" w:sz="4" w:val="single"/>
              <w:left w:color="808080" w:space="0" w:sz="4" w:val="single"/>
              <w:right w:color="808080" w:space="0" w:sz="4" w:val="single"/>
            </w:tcBorders>
          </w:tcPr>
          <w:p w:rsidR="00000000" w:rsidDel="00000000" w:rsidP="00000000" w:rsidRDefault="00000000" w:rsidRPr="00000000" w14:paraId="00000D9D">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2011 x 2012</w:t>
            </w:r>
          </w:p>
        </w:tc>
        <w:tc>
          <w:tcPr>
            <w:tcBorders>
              <w:top w:color="808080" w:space="0" w:sz="4" w:val="single"/>
              <w:left w:color="808080" w:space="0" w:sz="4" w:val="single"/>
              <w:right w:color="808080" w:space="0" w:sz="4" w:val="single"/>
            </w:tcBorders>
          </w:tcPr>
          <w:p w:rsidR="00000000" w:rsidDel="00000000" w:rsidP="00000000" w:rsidRDefault="00000000" w:rsidRPr="00000000" w14:paraId="00000D9E">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2012 x 2013</w:t>
            </w:r>
          </w:p>
        </w:tc>
        <w:tc>
          <w:tcPr>
            <w:tcBorders>
              <w:top w:color="808080" w:space="0" w:sz="4" w:val="single"/>
              <w:left w:color="808080" w:space="0" w:sz="4" w:val="single"/>
              <w:right w:color="808080" w:space="0" w:sz="4" w:val="single"/>
            </w:tcBorders>
          </w:tcPr>
          <w:p w:rsidR="00000000" w:rsidDel="00000000" w:rsidP="00000000" w:rsidRDefault="00000000" w:rsidRPr="00000000" w14:paraId="00000D9F">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2013 x 2014</w:t>
            </w:r>
          </w:p>
        </w:tc>
      </w:tr>
      <w:tr>
        <w:trPr>
          <w:cantSplit w:val="0"/>
          <w:tblHeader w:val="0"/>
        </w:trPr>
        <w:tc>
          <w:tcPr>
            <w:tcBorders>
              <w:left w:color="808080" w:space="0" w:sz="4" w:val="single"/>
              <w:bottom w:color="808080" w:space="0" w:sz="4" w:val="single"/>
              <w:right w:color="808080" w:space="0" w:sz="4" w:val="single"/>
            </w:tcBorders>
          </w:tcPr>
          <w:p w:rsidR="00000000" w:rsidDel="00000000" w:rsidP="00000000" w:rsidRDefault="00000000" w:rsidRPr="00000000" w14:paraId="00000DA0">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1568103" cy="1620000"/>
                  <wp:effectExtent b="0" l="0" r="0" t="0"/>
                  <wp:docPr descr="Gráfico, Gráfico de linhas, Gráfico de caixa estreita&#10;&#10;Descrição gerada automaticamente" id="127" name="image19.png"/>
                  <a:graphic>
                    <a:graphicData uri="http://schemas.openxmlformats.org/drawingml/2006/picture">
                      <pic:pic>
                        <pic:nvPicPr>
                          <pic:cNvPr descr="Gráfico, Gráfico de linhas, Gráfico de caixa estreita&#10;&#10;Descrição gerada automaticamente" id="0" name="image19.png"/>
                          <pic:cNvPicPr preferRelativeResize="0"/>
                        </pic:nvPicPr>
                        <pic:blipFill>
                          <a:blip r:embed="rId97"/>
                          <a:srcRect b="0" l="24976" r="25635" t="0"/>
                          <a:stretch>
                            <a:fillRect/>
                          </a:stretch>
                        </pic:blipFill>
                        <pic:spPr>
                          <a:xfrm>
                            <a:off x="0" y="0"/>
                            <a:ext cx="1568103" cy="1620000"/>
                          </a:xfrm>
                          <a:prstGeom prst="rect"/>
                          <a:ln/>
                        </pic:spPr>
                      </pic:pic>
                    </a:graphicData>
                  </a:graphic>
                </wp:inline>
              </w:drawing>
            </w:r>
            <w:r w:rsidDel="00000000" w:rsidR="00000000" w:rsidRPr="00000000">
              <w:rPr>
                <w:rtl w:val="0"/>
              </w:rPr>
            </w:r>
          </w:p>
        </w:tc>
        <w:tc>
          <w:tcPr>
            <w:tcBorders>
              <w:left w:color="808080" w:space="0" w:sz="4" w:val="single"/>
              <w:bottom w:color="808080" w:space="0" w:sz="4" w:val="single"/>
              <w:right w:color="808080" w:space="0" w:sz="4" w:val="single"/>
            </w:tcBorders>
          </w:tcPr>
          <w:p w:rsidR="00000000" w:rsidDel="00000000" w:rsidP="00000000" w:rsidRDefault="00000000" w:rsidRPr="00000000" w14:paraId="00000DA1">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1563623" cy="1620000"/>
                  <wp:effectExtent b="0" l="0" r="0" t="0"/>
                  <wp:docPr descr="Gráfico, Gráfico de dispersão&#10;&#10;Descrição gerada automaticamente" id="109" name="image5.png"/>
                  <a:graphic>
                    <a:graphicData uri="http://schemas.openxmlformats.org/drawingml/2006/picture">
                      <pic:pic>
                        <pic:nvPicPr>
                          <pic:cNvPr descr="Gráfico, Gráfico de dispersão&#10;&#10;Descrição gerada automaticamente" id="0" name="image5.png"/>
                          <pic:cNvPicPr preferRelativeResize="0"/>
                        </pic:nvPicPr>
                        <pic:blipFill>
                          <a:blip r:embed="rId98"/>
                          <a:srcRect b="0" l="25258" r="25494" t="0"/>
                          <a:stretch>
                            <a:fillRect/>
                          </a:stretch>
                        </pic:blipFill>
                        <pic:spPr>
                          <a:xfrm>
                            <a:off x="0" y="0"/>
                            <a:ext cx="1563623" cy="1620000"/>
                          </a:xfrm>
                          <a:prstGeom prst="rect"/>
                          <a:ln/>
                        </pic:spPr>
                      </pic:pic>
                    </a:graphicData>
                  </a:graphic>
                </wp:inline>
              </w:drawing>
            </w:r>
            <w:r w:rsidDel="00000000" w:rsidR="00000000" w:rsidRPr="00000000">
              <w:rPr>
                <w:rtl w:val="0"/>
              </w:rPr>
            </w:r>
          </w:p>
        </w:tc>
        <w:tc>
          <w:tcPr>
            <w:tcBorders>
              <w:left w:color="808080" w:space="0" w:sz="4" w:val="single"/>
              <w:bottom w:color="808080" w:space="0" w:sz="4" w:val="single"/>
              <w:right w:color="808080" w:space="0" w:sz="4" w:val="single"/>
            </w:tcBorders>
          </w:tcPr>
          <w:p w:rsidR="00000000" w:rsidDel="00000000" w:rsidP="00000000" w:rsidRDefault="00000000" w:rsidRPr="00000000" w14:paraId="00000DA2">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1581544" cy="1620000"/>
                  <wp:effectExtent b="0" l="0" r="0" t="0"/>
                  <wp:docPr descr="Gráfico, Gráfico de dispersão&#10;&#10;Descrição gerada automaticamente" id="110" name="image15.png"/>
                  <a:graphic>
                    <a:graphicData uri="http://schemas.openxmlformats.org/drawingml/2006/picture">
                      <pic:pic>
                        <pic:nvPicPr>
                          <pic:cNvPr descr="Gráfico, Gráfico de dispersão&#10;&#10;Descrição gerada automaticamente" id="0" name="image15.png"/>
                          <pic:cNvPicPr preferRelativeResize="0"/>
                        </pic:nvPicPr>
                        <pic:blipFill>
                          <a:blip r:embed="rId99"/>
                          <a:srcRect b="0" l="24977" r="25211" t="0"/>
                          <a:stretch>
                            <a:fillRect/>
                          </a:stretch>
                        </pic:blipFill>
                        <pic:spPr>
                          <a:xfrm>
                            <a:off x="0" y="0"/>
                            <a:ext cx="1581544" cy="1620000"/>
                          </a:xfrm>
                          <a:prstGeom prst="rect"/>
                          <a:ln/>
                        </pic:spPr>
                      </pic:pic>
                    </a:graphicData>
                  </a:graphic>
                </wp:inline>
              </w:drawing>
            </w:r>
            <w:r w:rsidDel="00000000" w:rsidR="00000000" w:rsidRPr="00000000">
              <w:rPr>
                <w:rtl w:val="0"/>
              </w:rPr>
            </w:r>
          </w:p>
        </w:tc>
      </w:tr>
      <w:tr>
        <w:trPr>
          <w:cantSplit w:val="0"/>
          <w:tblHeader w:val="0"/>
        </w:trPr>
        <w:tc>
          <w:tcPr>
            <w:tcBorders>
              <w:top w:color="808080" w:space="0" w:sz="4" w:val="single"/>
              <w:left w:color="808080" w:space="0" w:sz="4" w:val="single"/>
              <w:right w:color="808080" w:space="0" w:sz="4" w:val="single"/>
            </w:tcBorders>
          </w:tcPr>
          <w:p w:rsidR="00000000" w:rsidDel="00000000" w:rsidP="00000000" w:rsidRDefault="00000000" w:rsidRPr="00000000" w14:paraId="00000DA3">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2014 x 2015</w:t>
            </w:r>
          </w:p>
        </w:tc>
        <w:tc>
          <w:tcPr>
            <w:tcBorders>
              <w:top w:color="808080" w:space="0" w:sz="4" w:val="single"/>
              <w:left w:color="808080" w:space="0" w:sz="4" w:val="single"/>
              <w:right w:color="808080" w:space="0" w:sz="4" w:val="single"/>
            </w:tcBorders>
          </w:tcPr>
          <w:p w:rsidR="00000000" w:rsidDel="00000000" w:rsidP="00000000" w:rsidRDefault="00000000" w:rsidRPr="00000000" w14:paraId="00000DA4">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2015 x 2016</w:t>
            </w:r>
          </w:p>
        </w:tc>
        <w:tc>
          <w:tcPr>
            <w:tcBorders>
              <w:top w:color="808080" w:space="0" w:sz="4" w:val="single"/>
              <w:left w:color="808080" w:space="0" w:sz="4" w:val="single"/>
              <w:right w:color="808080" w:space="0" w:sz="4" w:val="single"/>
            </w:tcBorders>
          </w:tcPr>
          <w:p w:rsidR="00000000" w:rsidDel="00000000" w:rsidP="00000000" w:rsidRDefault="00000000" w:rsidRPr="00000000" w14:paraId="00000DA5">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2016 x 2017</w:t>
            </w:r>
          </w:p>
        </w:tc>
      </w:tr>
      <w:tr>
        <w:trPr>
          <w:cantSplit w:val="0"/>
          <w:tblHeader w:val="0"/>
        </w:trPr>
        <w:tc>
          <w:tcPr>
            <w:tcBorders>
              <w:left w:color="808080" w:space="0" w:sz="4" w:val="single"/>
              <w:bottom w:color="808080" w:space="0" w:sz="4" w:val="single"/>
              <w:right w:color="808080" w:space="0" w:sz="4" w:val="single"/>
            </w:tcBorders>
          </w:tcPr>
          <w:p w:rsidR="00000000" w:rsidDel="00000000" w:rsidP="00000000" w:rsidRDefault="00000000" w:rsidRPr="00000000" w14:paraId="00000DA6">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1568103" cy="1620000"/>
                  <wp:effectExtent b="0" l="0" r="0" t="0"/>
                  <wp:docPr descr="Gráfico, Gráfico de linhas&#10;&#10;Descrição gerada automaticamente" id="112" name="image2.png"/>
                  <a:graphic>
                    <a:graphicData uri="http://schemas.openxmlformats.org/drawingml/2006/picture">
                      <pic:pic>
                        <pic:nvPicPr>
                          <pic:cNvPr descr="Gráfico, Gráfico de linhas&#10;&#10;Descrição gerada automaticamente" id="0" name="image2.png"/>
                          <pic:cNvPicPr preferRelativeResize="0"/>
                        </pic:nvPicPr>
                        <pic:blipFill>
                          <a:blip r:embed="rId100"/>
                          <a:srcRect b="0" l="25116" r="25494" t="0"/>
                          <a:stretch>
                            <a:fillRect/>
                          </a:stretch>
                        </pic:blipFill>
                        <pic:spPr>
                          <a:xfrm>
                            <a:off x="0" y="0"/>
                            <a:ext cx="1568103" cy="1620000"/>
                          </a:xfrm>
                          <a:prstGeom prst="rect"/>
                          <a:ln/>
                        </pic:spPr>
                      </pic:pic>
                    </a:graphicData>
                  </a:graphic>
                </wp:inline>
              </w:drawing>
            </w:r>
            <w:r w:rsidDel="00000000" w:rsidR="00000000" w:rsidRPr="00000000">
              <w:rPr>
                <w:rtl w:val="0"/>
              </w:rPr>
            </w:r>
          </w:p>
        </w:tc>
        <w:tc>
          <w:tcPr>
            <w:tcBorders>
              <w:left w:color="808080" w:space="0" w:sz="4" w:val="single"/>
              <w:bottom w:color="808080" w:space="0" w:sz="4" w:val="single"/>
              <w:right w:color="808080" w:space="0" w:sz="4" w:val="single"/>
            </w:tcBorders>
          </w:tcPr>
          <w:p w:rsidR="00000000" w:rsidDel="00000000" w:rsidP="00000000" w:rsidRDefault="00000000" w:rsidRPr="00000000" w14:paraId="00000DA7">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1554662" cy="1620000"/>
                  <wp:effectExtent b="0" l="0" r="0" t="0"/>
                  <wp:docPr descr="Gráfico, Gráfico de linhas&#10;&#10;Descrição gerada automaticamente" id="114" name="image18.png"/>
                  <a:graphic>
                    <a:graphicData uri="http://schemas.openxmlformats.org/drawingml/2006/picture">
                      <pic:pic>
                        <pic:nvPicPr>
                          <pic:cNvPr descr="Gráfico, Gráfico de linhas&#10;&#10;Descrição gerada automaticamente" id="0" name="image18.png"/>
                          <pic:cNvPicPr preferRelativeResize="0"/>
                        </pic:nvPicPr>
                        <pic:blipFill>
                          <a:blip r:embed="rId101"/>
                          <a:srcRect b="0" l="24977" r="26057" t="0"/>
                          <a:stretch>
                            <a:fillRect/>
                          </a:stretch>
                        </pic:blipFill>
                        <pic:spPr>
                          <a:xfrm>
                            <a:off x="0" y="0"/>
                            <a:ext cx="1554662" cy="1620000"/>
                          </a:xfrm>
                          <a:prstGeom prst="rect"/>
                          <a:ln/>
                        </pic:spPr>
                      </pic:pic>
                    </a:graphicData>
                  </a:graphic>
                </wp:inline>
              </w:drawing>
            </w:r>
            <w:r w:rsidDel="00000000" w:rsidR="00000000" w:rsidRPr="00000000">
              <w:rPr>
                <w:rtl w:val="0"/>
              </w:rPr>
            </w:r>
          </w:p>
        </w:tc>
        <w:tc>
          <w:tcPr>
            <w:tcBorders>
              <w:left w:color="808080" w:space="0" w:sz="4" w:val="single"/>
              <w:bottom w:color="808080" w:space="0" w:sz="4" w:val="single"/>
              <w:right w:color="808080" w:space="0" w:sz="4" w:val="single"/>
            </w:tcBorders>
          </w:tcPr>
          <w:p w:rsidR="00000000" w:rsidDel="00000000" w:rsidP="00000000" w:rsidRDefault="00000000" w:rsidRPr="00000000" w14:paraId="00000DA8">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1608426" cy="1620000"/>
                  <wp:effectExtent b="0" l="0" r="0" t="0"/>
                  <wp:docPr descr="Gráfico, Gráfico de linhas&#10;&#10;Descrição gerada automaticamente" id="116" name="image11.png"/>
                  <a:graphic>
                    <a:graphicData uri="http://schemas.openxmlformats.org/drawingml/2006/picture">
                      <pic:pic>
                        <pic:nvPicPr>
                          <pic:cNvPr descr="Gráfico, Gráfico de linhas&#10;&#10;Descrição gerada automaticamente" id="0" name="image11.png"/>
                          <pic:cNvPicPr preferRelativeResize="0"/>
                        </pic:nvPicPr>
                        <pic:blipFill>
                          <a:blip r:embed="rId102"/>
                          <a:srcRect b="0" l="24694" r="24647" t="0"/>
                          <a:stretch>
                            <a:fillRect/>
                          </a:stretch>
                        </pic:blipFill>
                        <pic:spPr>
                          <a:xfrm>
                            <a:off x="0" y="0"/>
                            <a:ext cx="1608426" cy="1620000"/>
                          </a:xfrm>
                          <a:prstGeom prst="rect"/>
                          <a:ln/>
                        </pic:spPr>
                      </pic:pic>
                    </a:graphicData>
                  </a:graphic>
                </wp:inline>
              </w:drawing>
            </w:r>
            <w:r w:rsidDel="00000000" w:rsidR="00000000" w:rsidRPr="00000000">
              <w:rPr>
                <w:rtl w:val="0"/>
              </w:rPr>
            </w:r>
          </w:p>
        </w:tc>
      </w:tr>
      <w:tr>
        <w:trPr>
          <w:cantSplit w:val="0"/>
          <w:tblHeader w:val="0"/>
        </w:trPr>
        <w:tc>
          <w:tcPr>
            <w:tcBorders>
              <w:top w:color="808080" w:space="0" w:sz="4" w:val="single"/>
              <w:left w:color="808080" w:space="0" w:sz="4" w:val="single"/>
              <w:right w:color="808080" w:space="0" w:sz="4" w:val="single"/>
            </w:tcBorders>
          </w:tcPr>
          <w:p w:rsidR="00000000" w:rsidDel="00000000" w:rsidP="00000000" w:rsidRDefault="00000000" w:rsidRPr="00000000" w14:paraId="00000DA9">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2017 x 2018</w:t>
            </w:r>
          </w:p>
        </w:tc>
        <w:tc>
          <w:tcPr>
            <w:tcBorders>
              <w:top w:color="808080" w:space="0" w:sz="4" w:val="single"/>
              <w:left w:color="808080" w:space="0" w:sz="4" w:val="single"/>
              <w:right w:color="808080" w:space="0" w:sz="4" w:val="single"/>
            </w:tcBorders>
          </w:tcPr>
          <w:p w:rsidR="00000000" w:rsidDel="00000000" w:rsidP="00000000" w:rsidRDefault="00000000" w:rsidRPr="00000000" w14:paraId="00000DAA">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2018x 2019</w:t>
            </w:r>
          </w:p>
        </w:tc>
        <w:tc>
          <w:tcPr>
            <w:tcBorders>
              <w:top w:color="808080" w:space="0" w:sz="4" w:val="single"/>
              <w:left w:color="808080" w:space="0" w:sz="4" w:val="single"/>
            </w:tcBorders>
          </w:tcPr>
          <w:p w:rsidR="00000000" w:rsidDel="00000000" w:rsidP="00000000" w:rsidRDefault="00000000" w:rsidRPr="00000000" w14:paraId="00000DAB">
            <w:pPr>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tcBorders>
              <w:left w:color="808080" w:space="0" w:sz="4" w:val="single"/>
              <w:bottom w:color="808080" w:space="0" w:sz="4" w:val="single"/>
              <w:right w:color="808080" w:space="0" w:sz="4" w:val="single"/>
            </w:tcBorders>
          </w:tcPr>
          <w:p w:rsidR="00000000" w:rsidDel="00000000" w:rsidP="00000000" w:rsidRDefault="00000000" w:rsidRPr="00000000" w14:paraId="00000DAC">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1594985" cy="1620000"/>
                  <wp:effectExtent b="0" l="0" r="0" t="0"/>
                  <wp:docPr descr="Gráfico, Gráfico de linhas, Gráfico de caixa estreita&#10;&#10;Descrição gerada automaticamente" id="118" name="image44.png"/>
                  <a:graphic>
                    <a:graphicData uri="http://schemas.openxmlformats.org/drawingml/2006/picture">
                      <pic:pic>
                        <pic:nvPicPr>
                          <pic:cNvPr descr="Gráfico, Gráfico de linhas, Gráfico de caixa estreita&#10;&#10;Descrição gerada automaticamente" id="0" name="image44.png"/>
                          <pic:cNvPicPr preferRelativeResize="0"/>
                        </pic:nvPicPr>
                        <pic:blipFill>
                          <a:blip r:embed="rId103"/>
                          <a:srcRect b="0" l="24553" r="25211" t="0"/>
                          <a:stretch>
                            <a:fillRect/>
                          </a:stretch>
                        </pic:blipFill>
                        <pic:spPr>
                          <a:xfrm>
                            <a:off x="0" y="0"/>
                            <a:ext cx="1594985" cy="1620000"/>
                          </a:xfrm>
                          <a:prstGeom prst="rect"/>
                          <a:ln/>
                        </pic:spPr>
                      </pic:pic>
                    </a:graphicData>
                  </a:graphic>
                </wp:inline>
              </w:drawing>
            </w:r>
            <w:r w:rsidDel="00000000" w:rsidR="00000000" w:rsidRPr="00000000">
              <w:rPr>
                <w:rtl w:val="0"/>
              </w:rPr>
            </w:r>
          </w:p>
        </w:tc>
        <w:tc>
          <w:tcPr>
            <w:tcBorders>
              <w:left w:color="808080" w:space="0" w:sz="4" w:val="single"/>
              <w:bottom w:color="808080" w:space="0" w:sz="4" w:val="single"/>
              <w:right w:color="808080" w:space="0" w:sz="4" w:val="single"/>
            </w:tcBorders>
          </w:tcPr>
          <w:p w:rsidR="00000000" w:rsidDel="00000000" w:rsidP="00000000" w:rsidRDefault="00000000" w:rsidRPr="00000000" w14:paraId="00000DAD">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1581544" cy="1620000"/>
                  <wp:effectExtent b="0" l="0" r="0" t="0"/>
                  <wp:docPr descr="Gráfico, Gráfico de linhas&#10;&#10;Descrição gerada automaticamente" id="120" name="image32.png"/>
                  <a:graphic>
                    <a:graphicData uri="http://schemas.openxmlformats.org/drawingml/2006/picture">
                      <pic:pic>
                        <pic:nvPicPr>
                          <pic:cNvPr descr="Gráfico, Gráfico de linhas&#10;&#10;Descrição gerada automaticamente" id="0" name="image32.png"/>
                          <pic:cNvPicPr preferRelativeResize="0"/>
                        </pic:nvPicPr>
                        <pic:blipFill>
                          <a:blip r:embed="rId104"/>
                          <a:srcRect b="0" l="25258" r="24929" t="0"/>
                          <a:stretch>
                            <a:fillRect/>
                          </a:stretch>
                        </pic:blipFill>
                        <pic:spPr>
                          <a:xfrm>
                            <a:off x="0" y="0"/>
                            <a:ext cx="1581544" cy="1620000"/>
                          </a:xfrm>
                          <a:prstGeom prst="rect"/>
                          <a:ln/>
                        </pic:spPr>
                      </pic:pic>
                    </a:graphicData>
                  </a:graphic>
                </wp:inline>
              </w:drawing>
            </w:r>
            <w:r w:rsidDel="00000000" w:rsidR="00000000" w:rsidRPr="00000000">
              <w:rPr>
                <w:rtl w:val="0"/>
              </w:rPr>
            </w:r>
          </w:p>
        </w:tc>
        <w:tc>
          <w:tcPr>
            <w:tcBorders>
              <w:left w:color="808080" w:space="0" w:sz="4" w:val="single"/>
            </w:tcBorders>
          </w:tcPr>
          <w:p w:rsidR="00000000" w:rsidDel="00000000" w:rsidP="00000000" w:rsidRDefault="00000000" w:rsidRPr="00000000" w14:paraId="00000DAE">
            <w:pPr>
              <w:jc w:val="center"/>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D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60" w:before="120" w:line="240" w:lineRule="auto"/>
        <w:ind w:left="1134" w:right="0" w:hanging="1134"/>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DB0">
      <w:pPr>
        <w:rPr/>
      </w:pPr>
      <w:r w:rsidDel="00000000" w:rsidR="00000000" w:rsidRPr="00000000">
        <w:rPr>
          <w:rtl w:val="0"/>
        </w:rPr>
      </w:r>
    </w:p>
    <w:p w:rsidR="00000000" w:rsidDel="00000000" w:rsidP="00000000" w:rsidRDefault="00000000" w:rsidRPr="00000000" w14:paraId="00000DB1">
      <w:pPr>
        <w:rPr/>
        <w:sectPr>
          <w:type w:val="nextPage"/>
          <w:pgSz w:h="16838" w:w="11906" w:orient="portrait"/>
          <w:pgMar w:bottom="1417" w:top="1417" w:left="1701" w:right="1701" w:header="397" w:footer="680"/>
          <w:titlePg w:val="1"/>
        </w:sectPr>
      </w:pPr>
      <w:r w:rsidDel="00000000" w:rsidR="00000000" w:rsidRPr="00000000">
        <w:rPr>
          <w:rtl w:val="0"/>
        </w:rPr>
      </w:r>
    </w:p>
    <w:p w:rsidR="00000000" w:rsidDel="00000000" w:rsidP="00000000" w:rsidRDefault="00000000" w:rsidRPr="00000000" w14:paraId="00000DB2">
      <w:pPr>
        <w:pStyle w:val="Heading1"/>
        <w:rPr/>
      </w:pPr>
      <w:bookmarkStart w:colFirst="0" w:colLast="0" w:name="_heading=h.pkwqa1" w:id="81"/>
      <w:bookmarkEnd w:id="81"/>
      <w:r w:rsidDel="00000000" w:rsidR="00000000" w:rsidRPr="00000000">
        <w:rPr>
          <w:rtl w:val="0"/>
        </w:rPr>
        <w:t xml:space="preserve">APÊNDICE 5: </w:t>
      </w:r>
      <w:r w:rsidDel="00000000" w:rsidR="00000000" w:rsidRPr="00000000">
        <w:rPr>
          <w:smallCaps w:val="0"/>
          <w:rtl w:val="0"/>
        </w:rPr>
        <w:t xml:space="preserve">Tabelas adicionais sobre o tratamento antirrábico</w:t>
      </w:r>
      <w:r w:rsidDel="00000000" w:rsidR="00000000" w:rsidRPr="00000000">
        <w:rPr>
          <w:rtl w:val="0"/>
        </w:rPr>
      </w:r>
    </w:p>
    <w:p w:rsidR="00000000" w:rsidDel="00000000" w:rsidP="00000000" w:rsidRDefault="00000000" w:rsidRPr="00000000" w14:paraId="00000DB3">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60" w:before="120" w:line="240" w:lineRule="auto"/>
        <w:ind w:left="1134" w:right="0" w:hanging="1134"/>
        <w:jc w:val="both"/>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heading=h.39kk8xu" w:id="82"/>
      <w:bookmarkEnd w:id="82"/>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Tabela 13 </w:t>
        <w:tab/>
        <w:t xml:space="preserve">Distribuição de frequências do tipo de tratamento indicado por ano no município de Feira de Santana, BA.</w:t>
      </w:r>
    </w:p>
    <w:tbl>
      <w:tblPr>
        <w:tblStyle w:val="Table19"/>
        <w:tblW w:w="8434.0" w:type="dxa"/>
        <w:jc w:val="left"/>
        <w:tblInd w:w="70.0" w:type="dxa"/>
        <w:tblLayout w:type="fixed"/>
        <w:tblLook w:val="0400"/>
      </w:tblPr>
      <w:tblGrid>
        <w:gridCol w:w="596"/>
        <w:gridCol w:w="727"/>
        <w:gridCol w:w="1049"/>
        <w:gridCol w:w="640"/>
        <w:gridCol w:w="590"/>
        <w:gridCol w:w="552"/>
        <w:gridCol w:w="615"/>
        <w:gridCol w:w="632"/>
        <w:gridCol w:w="573"/>
        <w:gridCol w:w="540"/>
        <w:gridCol w:w="590"/>
        <w:gridCol w:w="640"/>
        <w:gridCol w:w="690"/>
        <w:tblGridChange w:id="0">
          <w:tblGrid>
            <w:gridCol w:w="596"/>
            <w:gridCol w:w="727"/>
            <w:gridCol w:w="1049"/>
            <w:gridCol w:w="640"/>
            <w:gridCol w:w="590"/>
            <w:gridCol w:w="552"/>
            <w:gridCol w:w="615"/>
            <w:gridCol w:w="632"/>
            <w:gridCol w:w="573"/>
            <w:gridCol w:w="540"/>
            <w:gridCol w:w="590"/>
            <w:gridCol w:w="640"/>
            <w:gridCol w:w="690"/>
          </w:tblGrid>
        </w:tblGridChange>
      </w:tblGrid>
      <w:tr>
        <w:trPr>
          <w:cantSplit w:val="0"/>
          <w:trHeight w:val="300" w:hRule="atLeast"/>
          <w:tblHeader w:val="0"/>
        </w:trPr>
        <w:tc>
          <w:tcPr>
            <w:vMerge w:val="restart"/>
            <w:tcBorders>
              <w:top w:color="000000" w:space="0" w:sz="4" w:val="single"/>
              <w:left w:color="000000" w:space="0" w:sz="0" w:val="nil"/>
              <w:right w:color="000000" w:space="0" w:sz="0" w:val="nil"/>
            </w:tcBorders>
            <w:shd w:fill="auto" w:val="clear"/>
            <w:vAlign w:val="center"/>
          </w:tcPr>
          <w:p w:rsidR="00000000" w:rsidDel="00000000" w:rsidP="00000000" w:rsidRDefault="00000000" w:rsidRPr="00000000" w14:paraId="00000DB4">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ANO</w:t>
            </w:r>
          </w:p>
        </w:tc>
        <w:tc>
          <w:tcPr>
            <w:gridSpan w:val="2"/>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DB5">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Esquema de reexposição</w:t>
            </w:r>
          </w:p>
        </w:tc>
        <w:tc>
          <w:tcPr>
            <w:gridSpan w:val="2"/>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DB7">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Não tratado</w:t>
            </w:r>
          </w:p>
        </w:tc>
        <w:tc>
          <w:tcPr>
            <w:gridSpan w:val="2"/>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DB9">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Pré exposição</w:t>
            </w:r>
          </w:p>
        </w:tc>
        <w:tc>
          <w:tcPr>
            <w:gridSpan w:val="2"/>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DBB">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Soro e Vacina</w:t>
            </w:r>
          </w:p>
        </w:tc>
        <w:tc>
          <w:tcPr>
            <w:gridSpan w:val="2"/>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DBD">
            <w:pPr>
              <w:spacing w:after="0" w:line="240" w:lineRule="auto"/>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Vacina</w:t>
            </w:r>
          </w:p>
        </w:tc>
        <w:tc>
          <w:tcPr>
            <w:gridSpan w:val="2"/>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DBF">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Total</w:t>
            </w:r>
            <w:r w:rsidDel="00000000" w:rsidR="00000000" w:rsidRPr="00000000">
              <w:rPr>
                <w:rtl w:val="0"/>
              </w:rPr>
            </w:r>
          </w:p>
        </w:tc>
      </w:tr>
      <w:tr>
        <w:trPr>
          <w:cantSplit w:val="0"/>
          <w:trHeight w:val="300" w:hRule="atLeast"/>
          <w:tblHeader w:val="0"/>
        </w:trPr>
        <w:tc>
          <w:tcPr>
            <w:vMerge w:val="continue"/>
            <w:tcBorders>
              <w:top w:color="000000" w:space="0" w:sz="4" w:val="single"/>
              <w:left w:color="000000" w:space="0" w:sz="0" w:val="nil"/>
              <w:right w:color="000000" w:space="0" w:sz="0" w:val="nil"/>
            </w:tcBorders>
            <w:shd w:fill="auto" w:val="clear"/>
            <w:vAlign w:val="center"/>
          </w:tcPr>
          <w:p w:rsidR="00000000" w:rsidDel="00000000" w:rsidP="00000000" w:rsidRDefault="00000000" w:rsidRPr="00000000" w14:paraId="00000D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shd w:fill="auto" w:val="clear"/>
            <w:vAlign w:val="center"/>
          </w:tcPr>
          <w:p w:rsidR="00000000" w:rsidDel="00000000" w:rsidP="00000000" w:rsidRDefault="00000000" w:rsidRPr="00000000" w14:paraId="00000DC2">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N</w:t>
            </w:r>
          </w:p>
        </w:tc>
        <w:tc>
          <w:tcPr>
            <w:tcBorders>
              <w:top w:color="000000" w:space="0" w:sz="0" w:val="nil"/>
              <w:left w:color="000000" w:space="0" w:sz="0" w:val="nil"/>
              <w:bottom w:color="000000" w:space="0" w:sz="8" w:val="single"/>
              <w:right w:color="000000" w:space="0" w:sz="0" w:val="nil"/>
            </w:tcBorders>
            <w:shd w:fill="auto" w:val="clear"/>
            <w:vAlign w:val="center"/>
          </w:tcPr>
          <w:p w:rsidR="00000000" w:rsidDel="00000000" w:rsidP="00000000" w:rsidRDefault="00000000" w:rsidRPr="00000000" w14:paraId="00000DC3">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w:t>
            </w:r>
          </w:p>
        </w:tc>
        <w:tc>
          <w:tcPr>
            <w:tcBorders>
              <w:top w:color="000000" w:space="0" w:sz="0" w:val="nil"/>
              <w:left w:color="000000" w:space="0" w:sz="0" w:val="nil"/>
              <w:bottom w:color="000000" w:space="0" w:sz="8" w:val="single"/>
              <w:right w:color="000000" w:space="0" w:sz="0" w:val="nil"/>
            </w:tcBorders>
            <w:shd w:fill="auto" w:val="clear"/>
            <w:vAlign w:val="center"/>
          </w:tcPr>
          <w:p w:rsidR="00000000" w:rsidDel="00000000" w:rsidP="00000000" w:rsidRDefault="00000000" w:rsidRPr="00000000" w14:paraId="00000DC4">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N</w:t>
            </w:r>
          </w:p>
        </w:tc>
        <w:tc>
          <w:tcPr>
            <w:tcBorders>
              <w:top w:color="000000" w:space="0" w:sz="0" w:val="nil"/>
              <w:left w:color="000000" w:space="0" w:sz="0" w:val="nil"/>
              <w:bottom w:color="000000" w:space="0" w:sz="8" w:val="single"/>
              <w:right w:color="000000" w:space="0" w:sz="0" w:val="nil"/>
            </w:tcBorders>
            <w:shd w:fill="auto" w:val="clear"/>
            <w:vAlign w:val="center"/>
          </w:tcPr>
          <w:p w:rsidR="00000000" w:rsidDel="00000000" w:rsidP="00000000" w:rsidRDefault="00000000" w:rsidRPr="00000000" w14:paraId="00000DC5">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w:t>
            </w:r>
          </w:p>
        </w:tc>
        <w:tc>
          <w:tcPr>
            <w:tcBorders>
              <w:top w:color="000000" w:space="0" w:sz="0" w:val="nil"/>
              <w:left w:color="000000" w:space="0" w:sz="0" w:val="nil"/>
              <w:bottom w:color="000000" w:space="0" w:sz="8" w:val="single"/>
              <w:right w:color="000000" w:space="0" w:sz="0" w:val="nil"/>
            </w:tcBorders>
            <w:shd w:fill="auto" w:val="clear"/>
            <w:vAlign w:val="center"/>
          </w:tcPr>
          <w:p w:rsidR="00000000" w:rsidDel="00000000" w:rsidP="00000000" w:rsidRDefault="00000000" w:rsidRPr="00000000" w14:paraId="00000DC6">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N</w:t>
            </w:r>
          </w:p>
        </w:tc>
        <w:tc>
          <w:tcPr>
            <w:tcBorders>
              <w:top w:color="000000" w:space="0" w:sz="0" w:val="nil"/>
              <w:left w:color="000000" w:space="0" w:sz="0" w:val="nil"/>
              <w:bottom w:color="000000" w:space="0" w:sz="8" w:val="single"/>
              <w:right w:color="000000" w:space="0" w:sz="0" w:val="nil"/>
            </w:tcBorders>
            <w:shd w:fill="auto" w:val="clear"/>
            <w:vAlign w:val="center"/>
          </w:tcPr>
          <w:p w:rsidR="00000000" w:rsidDel="00000000" w:rsidP="00000000" w:rsidRDefault="00000000" w:rsidRPr="00000000" w14:paraId="00000DC7">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w:t>
            </w:r>
          </w:p>
        </w:tc>
        <w:tc>
          <w:tcPr>
            <w:tcBorders>
              <w:top w:color="000000" w:space="0" w:sz="0" w:val="nil"/>
              <w:left w:color="000000" w:space="0" w:sz="0" w:val="nil"/>
              <w:bottom w:color="000000" w:space="0" w:sz="8" w:val="single"/>
              <w:right w:color="000000" w:space="0" w:sz="0" w:val="nil"/>
            </w:tcBorders>
            <w:shd w:fill="auto" w:val="clear"/>
            <w:vAlign w:val="center"/>
          </w:tcPr>
          <w:p w:rsidR="00000000" w:rsidDel="00000000" w:rsidP="00000000" w:rsidRDefault="00000000" w:rsidRPr="00000000" w14:paraId="00000DC8">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N</w:t>
            </w:r>
          </w:p>
        </w:tc>
        <w:tc>
          <w:tcPr>
            <w:tcBorders>
              <w:top w:color="000000" w:space="0" w:sz="0" w:val="nil"/>
              <w:left w:color="000000" w:space="0" w:sz="0" w:val="nil"/>
              <w:bottom w:color="000000" w:space="0" w:sz="8" w:val="single"/>
              <w:right w:color="000000" w:space="0" w:sz="0" w:val="nil"/>
            </w:tcBorders>
            <w:shd w:fill="auto" w:val="clear"/>
            <w:vAlign w:val="center"/>
          </w:tcPr>
          <w:p w:rsidR="00000000" w:rsidDel="00000000" w:rsidP="00000000" w:rsidRDefault="00000000" w:rsidRPr="00000000" w14:paraId="00000DC9">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w:t>
            </w:r>
          </w:p>
        </w:tc>
        <w:tc>
          <w:tcPr>
            <w:tcBorders>
              <w:top w:color="000000" w:space="0" w:sz="0" w:val="nil"/>
              <w:left w:color="000000" w:space="0" w:sz="0" w:val="nil"/>
              <w:bottom w:color="000000" w:space="0" w:sz="8" w:val="single"/>
              <w:right w:color="000000" w:space="0" w:sz="0" w:val="nil"/>
            </w:tcBorders>
            <w:shd w:fill="auto" w:val="clear"/>
            <w:vAlign w:val="center"/>
          </w:tcPr>
          <w:p w:rsidR="00000000" w:rsidDel="00000000" w:rsidP="00000000" w:rsidRDefault="00000000" w:rsidRPr="00000000" w14:paraId="00000DCA">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N</w:t>
            </w:r>
          </w:p>
        </w:tc>
        <w:tc>
          <w:tcPr>
            <w:tcBorders>
              <w:top w:color="000000" w:space="0" w:sz="0" w:val="nil"/>
              <w:left w:color="000000" w:space="0" w:sz="0" w:val="nil"/>
              <w:bottom w:color="000000" w:space="0" w:sz="8" w:val="single"/>
              <w:right w:color="000000" w:space="0" w:sz="0" w:val="nil"/>
            </w:tcBorders>
            <w:shd w:fill="auto" w:val="clear"/>
            <w:vAlign w:val="center"/>
          </w:tcPr>
          <w:p w:rsidR="00000000" w:rsidDel="00000000" w:rsidP="00000000" w:rsidRDefault="00000000" w:rsidRPr="00000000" w14:paraId="00000DCB">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w:t>
            </w:r>
          </w:p>
        </w:tc>
        <w:tc>
          <w:tcPr>
            <w:tcBorders>
              <w:top w:color="000000" w:space="0" w:sz="0" w:val="nil"/>
              <w:left w:color="000000" w:space="0" w:sz="0" w:val="nil"/>
              <w:bottom w:color="000000" w:space="0" w:sz="8" w:val="single"/>
              <w:right w:color="000000" w:space="0" w:sz="0" w:val="nil"/>
            </w:tcBorders>
            <w:shd w:fill="auto" w:val="clear"/>
            <w:vAlign w:val="center"/>
          </w:tcPr>
          <w:p w:rsidR="00000000" w:rsidDel="00000000" w:rsidP="00000000" w:rsidRDefault="00000000" w:rsidRPr="00000000" w14:paraId="00000DCC">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N</w:t>
            </w:r>
          </w:p>
        </w:tc>
        <w:tc>
          <w:tcPr>
            <w:tcBorders>
              <w:top w:color="000000" w:space="0" w:sz="0" w:val="nil"/>
              <w:left w:color="000000" w:space="0" w:sz="0" w:val="nil"/>
              <w:bottom w:color="000000" w:space="0" w:sz="8" w:val="single"/>
              <w:right w:color="000000" w:space="0" w:sz="0" w:val="nil"/>
            </w:tcBorders>
            <w:shd w:fill="auto" w:val="clear"/>
            <w:vAlign w:val="center"/>
          </w:tcPr>
          <w:p w:rsidR="00000000" w:rsidDel="00000000" w:rsidP="00000000" w:rsidRDefault="00000000" w:rsidRPr="00000000" w14:paraId="00000DCD">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DCE">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2008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DCF">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DD0">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0,00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DD1">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1422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DD2">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77,92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DD3">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DD4">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0,27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DD5">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92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DD6">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5,04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DD7">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306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DD8">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16,77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DD9">
            <w:pPr>
              <w:spacing w:after="0" w:line="240" w:lineRule="auto"/>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1825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DDA">
            <w:pPr>
              <w:spacing w:after="0" w:line="240" w:lineRule="auto"/>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7,17</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DDB">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2009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DDC">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DDD">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0,00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DDE">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1689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DDF">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78,16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DE0">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DE1">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0,32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DE2">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100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DE3">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4,63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DE4">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365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DE5">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16,89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DE6">
            <w:pPr>
              <w:spacing w:after="0" w:line="240" w:lineRule="auto"/>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2161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DE7">
            <w:pPr>
              <w:spacing w:after="0" w:line="240" w:lineRule="auto"/>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8,49</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DE8">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2010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DE9">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DEA">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0,05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DEB">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1656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DEC">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79,16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DED">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DEE">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0,43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DEF">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128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DF0">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6,12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DF1">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298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DF2">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14,24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DF3">
            <w:pPr>
              <w:spacing w:after="0" w:line="240" w:lineRule="auto"/>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2092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DF4">
            <w:pPr>
              <w:spacing w:after="0" w:line="240" w:lineRule="auto"/>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8,22</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DF5">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2011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DF6">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DF7">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0,00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DF8">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1611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DF9">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77,45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DFA">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DFB">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0,87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DFC">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130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DFD">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6,25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DFE">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321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DFF">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15,43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E00">
            <w:pPr>
              <w:spacing w:after="0" w:line="240" w:lineRule="auto"/>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2080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E01">
            <w:pPr>
              <w:spacing w:after="0" w:line="240" w:lineRule="auto"/>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8,17</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E02">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2012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E03">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E04">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0,05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E05">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1280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E06">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68,85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E07">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E08">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0,27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E09">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58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E0A">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3,12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E0B">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515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E0C">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27,70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E0D">
            <w:pPr>
              <w:spacing w:after="0" w:line="240" w:lineRule="auto"/>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1859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E0E">
            <w:pPr>
              <w:spacing w:after="0" w:line="240" w:lineRule="auto"/>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7,31</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E0F">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2013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E10">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E11">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0,00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E12">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1580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E13">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77,41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E14">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E15">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1,47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E16">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100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E17">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4,90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E18">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331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E19">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16,22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E1A">
            <w:pPr>
              <w:spacing w:after="0" w:line="240" w:lineRule="auto"/>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2041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E1B">
            <w:pPr>
              <w:spacing w:after="0" w:line="240" w:lineRule="auto"/>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8,02</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E1C">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2014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E1D">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E1E">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0,05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E1F">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1602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E20">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73,22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E21">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E22">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1,23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E23">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114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E24">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5,21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E25">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444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E26">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20,29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E27">
            <w:pPr>
              <w:spacing w:after="0" w:line="240" w:lineRule="auto"/>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2188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E28">
            <w:pPr>
              <w:spacing w:after="0" w:line="240" w:lineRule="auto"/>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8,60</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E29">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2015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E2A">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E2B">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0,04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E2C">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1727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E2D">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76,86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E2E">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E2F">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0,31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E30">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106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E31">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4,72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E32">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406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E33">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18,07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E34">
            <w:pPr>
              <w:spacing w:after="0" w:line="240" w:lineRule="auto"/>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2247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E35">
            <w:pPr>
              <w:spacing w:after="0" w:line="240" w:lineRule="auto"/>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8,83</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E36">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2016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E37">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E38">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0,05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E39">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1701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E3A">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77,39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E3B">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E3C">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0,05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E3D">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71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E3E">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3,23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E3F">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424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E40">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19,29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E41">
            <w:pPr>
              <w:spacing w:after="0" w:line="240" w:lineRule="auto"/>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2198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E42">
            <w:pPr>
              <w:spacing w:after="0" w:line="240" w:lineRule="auto"/>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8,64</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E43">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2017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E44">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E45">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0,13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E46">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1692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E47">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73,53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E48">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E49">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0,26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E4A">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178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E4B">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7,74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E4C">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422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E4D">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18,34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E4E">
            <w:pPr>
              <w:spacing w:after="0" w:line="240" w:lineRule="auto"/>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2301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E4F">
            <w:pPr>
              <w:spacing w:after="0" w:line="240" w:lineRule="auto"/>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9,04</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E50">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2018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E51">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E52">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0,17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E53">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1733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E54">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72,69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E55">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E56">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0,42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E57">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222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E58">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9,31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E59">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415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E5A">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17,41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E5B">
            <w:pPr>
              <w:spacing w:after="0" w:line="240" w:lineRule="auto"/>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2384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E5C">
            <w:pPr>
              <w:spacing w:after="0" w:line="240" w:lineRule="auto"/>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9,37</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E5D">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2019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E5E">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E5F">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0,00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E60">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1611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E61">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77,75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E62">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E63">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0,77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E64">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105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E65">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7,48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E66">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340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E67">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7,41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E68">
            <w:pPr>
              <w:spacing w:after="0" w:line="240" w:lineRule="auto"/>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2072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E69">
            <w:pPr>
              <w:spacing w:after="0" w:line="240" w:lineRule="auto"/>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8,14</w:t>
            </w:r>
          </w:p>
        </w:tc>
      </w:tr>
      <w:tr>
        <w:trPr>
          <w:cantSplit w:val="0"/>
          <w:trHeight w:val="315" w:hRule="atLeast"/>
          <w:tblHeader w:val="0"/>
        </w:trPr>
        <w:tc>
          <w:tcPr>
            <w:tcBorders>
              <w:top w:color="000000" w:space="0" w:sz="4" w:val="single"/>
              <w:left w:color="000000" w:space="0" w:sz="0" w:val="nil"/>
              <w:bottom w:color="000000" w:space="0" w:sz="8" w:val="single"/>
              <w:right w:color="000000" w:space="0" w:sz="0" w:val="nil"/>
            </w:tcBorders>
            <w:shd w:fill="auto" w:val="clear"/>
            <w:vAlign w:val="center"/>
          </w:tcPr>
          <w:p w:rsidR="00000000" w:rsidDel="00000000" w:rsidP="00000000" w:rsidRDefault="00000000" w:rsidRPr="00000000" w14:paraId="00000E6A">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Total</w:t>
            </w:r>
          </w:p>
        </w:tc>
        <w:tc>
          <w:tcPr>
            <w:tcBorders>
              <w:top w:color="000000" w:space="0" w:sz="4" w:val="single"/>
              <w:left w:color="000000" w:space="0" w:sz="0" w:val="nil"/>
              <w:bottom w:color="000000" w:space="0" w:sz="8" w:val="single"/>
              <w:right w:color="000000" w:space="0" w:sz="0" w:val="nil"/>
            </w:tcBorders>
            <w:shd w:fill="auto" w:val="clear"/>
            <w:vAlign w:val="bottom"/>
          </w:tcPr>
          <w:p w:rsidR="00000000" w:rsidDel="00000000" w:rsidP="00000000" w:rsidRDefault="00000000" w:rsidRPr="00000000" w14:paraId="00000E6B">
            <w:pPr>
              <w:spacing w:after="0" w:line="240" w:lineRule="auto"/>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12</w:t>
            </w:r>
          </w:p>
        </w:tc>
        <w:tc>
          <w:tcPr>
            <w:tcBorders>
              <w:top w:color="000000" w:space="0" w:sz="4" w:val="single"/>
              <w:left w:color="000000" w:space="0" w:sz="0" w:val="nil"/>
              <w:bottom w:color="000000" w:space="0" w:sz="8" w:val="single"/>
              <w:right w:color="000000" w:space="0" w:sz="0" w:val="nil"/>
            </w:tcBorders>
            <w:shd w:fill="auto" w:val="clear"/>
            <w:vAlign w:val="bottom"/>
          </w:tcPr>
          <w:p w:rsidR="00000000" w:rsidDel="00000000" w:rsidP="00000000" w:rsidRDefault="00000000" w:rsidRPr="00000000" w14:paraId="00000E6C">
            <w:pPr>
              <w:spacing w:after="0" w:line="240" w:lineRule="auto"/>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0,05</w:t>
            </w:r>
          </w:p>
        </w:tc>
        <w:tc>
          <w:tcPr>
            <w:tcBorders>
              <w:top w:color="000000" w:space="0" w:sz="4" w:val="single"/>
              <w:left w:color="000000" w:space="0" w:sz="0" w:val="nil"/>
              <w:bottom w:color="000000" w:space="0" w:sz="8" w:val="single"/>
              <w:right w:color="000000" w:space="0" w:sz="0" w:val="nil"/>
            </w:tcBorders>
            <w:shd w:fill="auto" w:val="clear"/>
            <w:vAlign w:val="bottom"/>
          </w:tcPr>
          <w:p w:rsidR="00000000" w:rsidDel="00000000" w:rsidP="00000000" w:rsidRDefault="00000000" w:rsidRPr="00000000" w14:paraId="00000E6D">
            <w:pPr>
              <w:spacing w:after="0" w:line="240" w:lineRule="auto"/>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19304</w:t>
            </w:r>
          </w:p>
        </w:tc>
        <w:tc>
          <w:tcPr>
            <w:tcBorders>
              <w:top w:color="000000" w:space="0" w:sz="4" w:val="single"/>
              <w:left w:color="000000" w:space="0" w:sz="0" w:val="nil"/>
              <w:bottom w:color="000000" w:space="0" w:sz="8" w:val="single"/>
              <w:right w:color="000000" w:space="0" w:sz="0" w:val="nil"/>
            </w:tcBorders>
            <w:shd w:fill="auto" w:val="clear"/>
            <w:vAlign w:val="bottom"/>
          </w:tcPr>
          <w:p w:rsidR="00000000" w:rsidDel="00000000" w:rsidP="00000000" w:rsidRDefault="00000000" w:rsidRPr="00000000" w14:paraId="00000E6E">
            <w:pPr>
              <w:spacing w:after="0" w:line="240" w:lineRule="auto"/>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75,86</w:t>
            </w:r>
          </w:p>
        </w:tc>
        <w:tc>
          <w:tcPr>
            <w:tcBorders>
              <w:top w:color="000000" w:space="0" w:sz="4" w:val="single"/>
              <w:left w:color="000000" w:space="0" w:sz="0" w:val="nil"/>
              <w:bottom w:color="000000" w:space="0" w:sz="8" w:val="single"/>
              <w:right w:color="000000" w:space="0" w:sz="0" w:val="nil"/>
            </w:tcBorders>
            <w:shd w:fill="auto" w:val="clear"/>
            <w:vAlign w:val="bottom"/>
          </w:tcPr>
          <w:p w:rsidR="00000000" w:rsidDel="00000000" w:rsidP="00000000" w:rsidRDefault="00000000" w:rsidRPr="00000000" w14:paraId="00000E6F">
            <w:pPr>
              <w:spacing w:after="0" w:line="240" w:lineRule="auto"/>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141</w:t>
            </w:r>
          </w:p>
        </w:tc>
        <w:tc>
          <w:tcPr>
            <w:tcBorders>
              <w:top w:color="000000" w:space="0" w:sz="4" w:val="single"/>
              <w:left w:color="000000" w:space="0" w:sz="0" w:val="nil"/>
              <w:bottom w:color="000000" w:space="0" w:sz="8" w:val="single"/>
              <w:right w:color="000000" w:space="0" w:sz="0" w:val="nil"/>
            </w:tcBorders>
            <w:shd w:fill="auto" w:val="clear"/>
            <w:vAlign w:val="bottom"/>
          </w:tcPr>
          <w:p w:rsidR="00000000" w:rsidDel="00000000" w:rsidP="00000000" w:rsidRDefault="00000000" w:rsidRPr="00000000" w14:paraId="00000E70">
            <w:pPr>
              <w:spacing w:after="0" w:line="240" w:lineRule="auto"/>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0,55</w:t>
            </w:r>
          </w:p>
        </w:tc>
        <w:tc>
          <w:tcPr>
            <w:tcBorders>
              <w:top w:color="000000" w:space="0" w:sz="4" w:val="single"/>
              <w:left w:color="000000" w:space="0" w:sz="0" w:val="nil"/>
              <w:bottom w:color="000000" w:space="0" w:sz="8" w:val="single"/>
              <w:right w:color="000000" w:space="0" w:sz="0" w:val="nil"/>
            </w:tcBorders>
            <w:shd w:fill="auto" w:val="clear"/>
            <w:vAlign w:val="bottom"/>
          </w:tcPr>
          <w:p w:rsidR="00000000" w:rsidDel="00000000" w:rsidP="00000000" w:rsidRDefault="00000000" w:rsidRPr="00000000" w14:paraId="00000E71">
            <w:pPr>
              <w:spacing w:after="0" w:line="240" w:lineRule="auto"/>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1404</w:t>
            </w:r>
          </w:p>
        </w:tc>
        <w:tc>
          <w:tcPr>
            <w:tcBorders>
              <w:top w:color="000000" w:space="0" w:sz="4" w:val="single"/>
              <w:left w:color="000000" w:space="0" w:sz="0" w:val="nil"/>
              <w:bottom w:color="000000" w:space="0" w:sz="8" w:val="single"/>
              <w:right w:color="000000" w:space="0" w:sz="0" w:val="nil"/>
            </w:tcBorders>
            <w:shd w:fill="auto" w:val="clear"/>
            <w:vAlign w:val="bottom"/>
          </w:tcPr>
          <w:p w:rsidR="00000000" w:rsidDel="00000000" w:rsidP="00000000" w:rsidRDefault="00000000" w:rsidRPr="00000000" w14:paraId="00000E72">
            <w:pPr>
              <w:spacing w:after="0" w:line="240" w:lineRule="auto"/>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5,52</w:t>
            </w:r>
          </w:p>
        </w:tc>
        <w:tc>
          <w:tcPr>
            <w:tcBorders>
              <w:top w:color="000000" w:space="0" w:sz="4" w:val="single"/>
              <w:left w:color="000000" w:space="0" w:sz="0" w:val="nil"/>
              <w:bottom w:color="000000" w:space="0" w:sz="8" w:val="single"/>
              <w:right w:color="000000" w:space="0" w:sz="0" w:val="nil"/>
            </w:tcBorders>
            <w:shd w:fill="auto" w:val="clear"/>
            <w:vAlign w:val="bottom"/>
          </w:tcPr>
          <w:p w:rsidR="00000000" w:rsidDel="00000000" w:rsidP="00000000" w:rsidRDefault="00000000" w:rsidRPr="00000000" w14:paraId="00000E73">
            <w:pPr>
              <w:spacing w:after="0" w:line="240" w:lineRule="auto"/>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4587</w:t>
            </w:r>
          </w:p>
        </w:tc>
        <w:tc>
          <w:tcPr>
            <w:tcBorders>
              <w:top w:color="000000" w:space="0" w:sz="4" w:val="single"/>
              <w:left w:color="000000" w:space="0" w:sz="0" w:val="nil"/>
              <w:bottom w:color="000000" w:space="0" w:sz="8" w:val="single"/>
              <w:right w:color="000000" w:space="0" w:sz="0" w:val="nil"/>
            </w:tcBorders>
            <w:shd w:fill="auto" w:val="clear"/>
            <w:vAlign w:val="bottom"/>
          </w:tcPr>
          <w:p w:rsidR="00000000" w:rsidDel="00000000" w:rsidP="00000000" w:rsidRDefault="00000000" w:rsidRPr="00000000" w14:paraId="00000E74">
            <w:pPr>
              <w:spacing w:after="0" w:line="240" w:lineRule="auto"/>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18,02</w:t>
            </w:r>
          </w:p>
        </w:tc>
        <w:tc>
          <w:tcPr>
            <w:tcBorders>
              <w:top w:color="000000" w:space="0" w:sz="4" w:val="single"/>
              <w:left w:color="000000" w:space="0" w:sz="0" w:val="nil"/>
              <w:bottom w:color="000000" w:space="0" w:sz="8" w:val="single"/>
              <w:right w:color="000000" w:space="0" w:sz="0" w:val="nil"/>
            </w:tcBorders>
            <w:shd w:fill="auto" w:val="clear"/>
            <w:vAlign w:val="bottom"/>
          </w:tcPr>
          <w:p w:rsidR="00000000" w:rsidDel="00000000" w:rsidP="00000000" w:rsidRDefault="00000000" w:rsidRPr="00000000" w14:paraId="00000E75">
            <w:pPr>
              <w:spacing w:after="0" w:line="240" w:lineRule="auto"/>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25448</w:t>
            </w:r>
          </w:p>
        </w:tc>
        <w:tc>
          <w:tcPr>
            <w:tcBorders>
              <w:top w:color="000000" w:space="0" w:sz="4" w:val="single"/>
              <w:left w:color="000000" w:space="0" w:sz="0" w:val="nil"/>
              <w:bottom w:color="000000" w:space="0" w:sz="8" w:val="single"/>
              <w:right w:color="000000" w:space="0" w:sz="0" w:val="nil"/>
            </w:tcBorders>
            <w:shd w:fill="auto" w:val="clear"/>
            <w:vAlign w:val="bottom"/>
          </w:tcPr>
          <w:p w:rsidR="00000000" w:rsidDel="00000000" w:rsidP="00000000" w:rsidRDefault="00000000" w:rsidRPr="00000000" w14:paraId="00000E76">
            <w:pPr>
              <w:spacing w:after="0" w:line="240" w:lineRule="auto"/>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100,00</w:t>
            </w:r>
          </w:p>
        </w:tc>
      </w:tr>
    </w:tbl>
    <w:p w:rsidR="00000000" w:rsidDel="00000000" w:rsidP="00000000" w:rsidRDefault="00000000" w:rsidRPr="00000000" w14:paraId="00000E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60" w:before="120" w:line="240" w:lineRule="auto"/>
        <w:ind w:left="1134" w:right="0" w:hanging="1134"/>
        <w:jc w:val="both"/>
        <w:rPr>
          <w:rFonts w:ascii="Times New Roman" w:cs="Times New Roman" w:eastAsia="Times New Roman" w:hAnsi="Times New Roman"/>
          <w:b w:val="0"/>
          <w:i w:val="0"/>
          <w:smallCaps w:val="0"/>
          <w:strike w:val="0"/>
          <w:color w:val="000000"/>
          <w:sz w:val="20"/>
          <w:szCs w:val="20"/>
          <w:u w:val="none"/>
          <w:shd w:fill="auto" w:val="clear"/>
          <w:vertAlign w:val="baseline"/>
        </w:rPr>
        <w:sectPr>
          <w:type w:val="nextPage"/>
          <w:pgSz w:h="16838" w:w="11906" w:orient="portrait"/>
          <w:pgMar w:bottom="1417" w:top="1417" w:left="1701" w:right="1701" w:header="397" w:footer="680"/>
          <w:titlePg w:val="1"/>
        </w:sectPr>
      </w:pPr>
      <w:r w:rsidDel="00000000" w:rsidR="00000000" w:rsidRPr="00000000">
        <w:rPr>
          <w:rtl w:val="0"/>
        </w:rPr>
      </w:r>
    </w:p>
    <w:p w:rsidR="00000000" w:rsidDel="00000000" w:rsidP="00000000" w:rsidRDefault="00000000" w:rsidRPr="00000000" w14:paraId="00000E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60" w:before="120" w:line="240" w:lineRule="auto"/>
        <w:ind w:left="1134" w:right="0" w:hanging="1134"/>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1opuj5n" w:id="83"/>
      <w:bookmarkEnd w:id="83"/>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Tabela 14.</w:t>
        <w:tab/>
        <w:t xml:space="preserve">Frequências absolutas e relativas do abandono de tratamentos antirrábico humanos segundo as variáveis epidemiológicas. Feira de Santana, BA. 2008-2019.</w:t>
      </w:r>
      <w:r w:rsidDel="00000000" w:rsidR="00000000" w:rsidRPr="00000000">
        <w:rPr>
          <w:rtl w:val="0"/>
        </w:rPr>
      </w:r>
    </w:p>
    <w:tbl>
      <w:tblPr>
        <w:tblStyle w:val="Table20"/>
        <w:tblW w:w="8504.0" w:type="dxa"/>
        <w:jc w:val="left"/>
        <w:tblLayout w:type="fixed"/>
        <w:tblLook w:val="0400"/>
      </w:tblPr>
      <w:tblGrid>
        <w:gridCol w:w="1273"/>
        <w:gridCol w:w="343"/>
        <w:gridCol w:w="610"/>
        <w:gridCol w:w="540"/>
        <w:gridCol w:w="691"/>
        <w:gridCol w:w="540"/>
        <w:gridCol w:w="593"/>
        <w:gridCol w:w="690"/>
        <w:gridCol w:w="1051"/>
        <w:gridCol w:w="692"/>
        <w:gridCol w:w="691"/>
        <w:gridCol w:w="790"/>
        <w:tblGridChange w:id="0">
          <w:tblGrid>
            <w:gridCol w:w="1273"/>
            <w:gridCol w:w="343"/>
            <w:gridCol w:w="610"/>
            <w:gridCol w:w="540"/>
            <w:gridCol w:w="691"/>
            <w:gridCol w:w="540"/>
            <w:gridCol w:w="593"/>
            <w:gridCol w:w="690"/>
            <w:gridCol w:w="1051"/>
            <w:gridCol w:w="692"/>
            <w:gridCol w:w="691"/>
            <w:gridCol w:w="790"/>
          </w:tblGrid>
        </w:tblGridChange>
      </w:tblGrid>
      <w:tr>
        <w:trPr>
          <w:cantSplit w:val="0"/>
          <w:trHeight w:val="297" w:hRule="atLeast"/>
          <w:tblHeader w:val="0"/>
        </w:trPr>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E79">
            <w:pPr>
              <w:tabs>
                <w:tab w:val="left" w:leader="none" w:pos="288"/>
                <w:tab w:val="left" w:leader="none" w:pos="1915"/>
              </w:tabs>
              <w:spacing w:after="0" w:line="240" w:lineRule="auto"/>
              <w:ind w:left="363" w:firstLine="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gridSpan w:val="6"/>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E7A">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Abandono de tratamento</w:t>
            </w:r>
          </w:p>
        </w:tc>
        <w:tc>
          <w:tcPr>
            <w:vMerge w:val="restart"/>
            <w:tcBorders>
              <w:top w:color="000000" w:space="0" w:sz="4" w:val="single"/>
              <w:left w:color="000000" w:space="0" w:sz="0" w:val="nil"/>
              <w:right w:color="000000" w:space="0" w:sz="0" w:val="nil"/>
            </w:tcBorders>
            <w:shd w:fill="auto" w:val="clear"/>
            <w:vAlign w:val="center"/>
          </w:tcPr>
          <w:p w:rsidR="00000000" w:rsidDel="00000000" w:rsidP="00000000" w:rsidRDefault="00000000" w:rsidRPr="00000000" w14:paraId="00000E80">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Calibri" w:cs="Calibri" w:eastAsia="Calibri" w:hAnsi="Calibri"/>
                <w:b w:val="1"/>
                <w:color w:val="000000"/>
                <w:sz w:val="20"/>
                <w:szCs w:val="20"/>
                <w:rtl w:val="0"/>
              </w:rPr>
              <w:t xml:space="preserve">χ</w:t>
            </w:r>
            <w:r w:rsidDel="00000000" w:rsidR="00000000" w:rsidRPr="00000000">
              <w:rPr>
                <w:rFonts w:ascii="Times New Roman" w:cs="Times New Roman" w:eastAsia="Times New Roman" w:hAnsi="Times New Roman"/>
                <w:b w:val="1"/>
                <w:color w:val="000000"/>
                <w:sz w:val="20"/>
                <w:szCs w:val="20"/>
                <w:rtl w:val="0"/>
              </w:rPr>
              <w:t xml:space="preserve">2</w:t>
            </w:r>
          </w:p>
        </w:tc>
        <w:tc>
          <w:tcPr>
            <w:vMerge w:val="restart"/>
            <w:tcBorders>
              <w:top w:color="000000" w:space="0" w:sz="4" w:val="single"/>
              <w:left w:color="000000" w:space="0" w:sz="0" w:val="nil"/>
              <w:right w:color="000000" w:space="0" w:sz="0" w:val="nil"/>
            </w:tcBorders>
            <w:shd w:fill="auto" w:val="clear"/>
            <w:vAlign w:val="center"/>
          </w:tcPr>
          <w:p w:rsidR="00000000" w:rsidDel="00000000" w:rsidP="00000000" w:rsidRDefault="00000000" w:rsidRPr="00000000" w14:paraId="00000E81">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Valor de P</w:t>
            </w:r>
          </w:p>
        </w:tc>
        <w:tc>
          <w:tcPr>
            <w:vMerge w:val="restart"/>
            <w:tcBorders>
              <w:top w:color="000000" w:space="0" w:sz="4" w:val="single"/>
              <w:left w:color="000000" w:space="0" w:sz="0" w:val="nil"/>
              <w:right w:color="000000" w:space="0" w:sz="0" w:val="nil"/>
            </w:tcBorders>
            <w:shd w:fill="auto" w:val="clear"/>
            <w:vAlign w:val="center"/>
          </w:tcPr>
          <w:p w:rsidR="00000000" w:rsidDel="00000000" w:rsidP="00000000" w:rsidRDefault="00000000" w:rsidRPr="00000000" w14:paraId="00000E82">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OR</w:t>
            </w:r>
          </w:p>
        </w:tc>
        <w:tc>
          <w:tcPr>
            <w:vMerge w:val="restart"/>
            <w:tcBorders>
              <w:top w:color="000000" w:space="0" w:sz="4" w:val="single"/>
              <w:left w:color="000000" w:space="0" w:sz="0" w:val="nil"/>
              <w:right w:color="000000" w:space="0" w:sz="0" w:val="nil"/>
            </w:tcBorders>
            <w:shd w:fill="auto" w:val="clear"/>
            <w:vAlign w:val="center"/>
          </w:tcPr>
          <w:p w:rsidR="00000000" w:rsidDel="00000000" w:rsidP="00000000" w:rsidRDefault="00000000" w:rsidRPr="00000000" w14:paraId="00000E83">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ORi</w:t>
            </w:r>
          </w:p>
        </w:tc>
        <w:tc>
          <w:tcPr>
            <w:vMerge w:val="restart"/>
            <w:tcBorders>
              <w:top w:color="000000" w:space="0" w:sz="4" w:val="single"/>
              <w:left w:color="000000" w:space="0" w:sz="0" w:val="nil"/>
              <w:right w:color="000000" w:space="0" w:sz="0" w:val="nil"/>
            </w:tcBorders>
            <w:shd w:fill="auto" w:val="clear"/>
            <w:vAlign w:val="center"/>
          </w:tcPr>
          <w:p w:rsidR="00000000" w:rsidDel="00000000" w:rsidP="00000000" w:rsidRDefault="00000000" w:rsidRPr="00000000" w14:paraId="00000E84">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ORs</w:t>
            </w:r>
          </w:p>
        </w:tc>
      </w:tr>
      <w:tr>
        <w:trPr>
          <w:cantSplit w:val="0"/>
          <w:trHeight w:val="281"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E85">
            <w:pPr>
              <w:tabs>
                <w:tab w:val="left" w:leader="none" w:pos="288"/>
                <w:tab w:val="left" w:leader="none" w:pos="1915"/>
              </w:tabs>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Faixa etária</w:t>
            </w:r>
          </w:p>
        </w:tc>
        <w:tc>
          <w:tcPr>
            <w:gridSpan w:val="2"/>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E86">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Sim</w:t>
            </w:r>
          </w:p>
        </w:tc>
        <w:tc>
          <w:tcPr>
            <w:gridSpan w:val="2"/>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E88">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Não</w:t>
            </w:r>
          </w:p>
        </w:tc>
        <w:tc>
          <w:tcPr>
            <w:gridSpan w:val="2"/>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E8A">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Total</w:t>
            </w:r>
          </w:p>
        </w:tc>
        <w:tc>
          <w:tcPr>
            <w:vMerge w:val="continue"/>
            <w:tcBorders>
              <w:top w:color="000000" w:space="0" w:sz="4" w:val="single"/>
              <w:left w:color="000000" w:space="0" w:sz="0" w:val="nil"/>
              <w:right w:color="000000" w:space="0" w:sz="0" w:val="nil"/>
            </w:tcBorders>
            <w:shd w:fill="auto" w:val="clear"/>
            <w:vAlign w:val="center"/>
          </w:tcPr>
          <w:p w:rsidR="00000000" w:rsidDel="00000000" w:rsidP="00000000" w:rsidRDefault="00000000" w:rsidRPr="00000000" w14:paraId="00000E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0"/>
                <w:szCs w:val="20"/>
              </w:rPr>
            </w:pPr>
            <w:r w:rsidDel="00000000" w:rsidR="00000000" w:rsidRPr="00000000">
              <w:rPr>
                <w:rtl w:val="0"/>
              </w:rPr>
            </w:r>
          </w:p>
        </w:tc>
        <w:tc>
          <w:tcPr>
            <w:vMerge w:val="continue"/>
            <w:tcBorders>
              <w:top w:color="000000" w:space="0" w:sz="4" w:val="single"/>
              <w:left w:color="000000" w:space="0" w:sz="0" w:val="nil"/>
              <w:right w:color="000000" w:space="0" w:sz="0" w:val="nil"/>
            </w:tcBorders>
            <w:shd w:fill="auto" w:val="clear"/>
            <w:vAlign w:val="center"/>
          </w:tcPr>
          <w:p w:rsidR="00000000" w:rsidDel="00000000" w:rsidP="00000000" w:rsidRDefault="00000000" w:rsidRPr="00000000" w14:paraId="00000E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0"/>
                <w:szCs w:val="20"/>
              </w:rPr>
            </w:pPr>
            <w:r w:rsidDel="00000000" w:rsidR="00000000" w:rsidRPr="00000000">
              <w:rPr>
                <w:rtl w:val="0"/>
              </w:rPr>
            </w:r>
          </w:p>
        </w:tc>
        <w:tc>
          <w:tcPr>
            <w:vMerge w:val="continue"/>
            <w:tcBorders>
              <w:top w:color="000000" w:space="0" w:sz="4" w:val="single"/>
              <w:left w:color="000000" w:space="0" w:sz="0" w:val="nil"/>
              <w:right w:color="000000" w:space="0" w:sz="0" w:val="nil"/>
            </w:tcBorders>
            <w:shd w:fill="auto" w:val="clear"/>
            <w:vAlign w:val="center"/>
          </w:tcPr>
          <w:p w:rsidR="00000000" w:rsidDel="00000000" w:rsidP="00000000" w:rsidRDefault="00000000" w:rsidRPr="00000000" w14:paraId="00000E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0"/>
                <w:szCs w:val="20"/>
              </w:rPr>
            </w:pPr>
            <w:r w:rsidDel="00000000" w:rsidR="00000000" w:rsidRPr="00000000">
              <w:rPr>
                <w:rtl w:val="0"/>
              </w:rPr>
            </w:r>
          </w:p>
        </w:tc>
        <w:tc>
          <w:tcPr>
            <w:vMerge w:val="continue"/>
            <w:tcBorders>
              <w:top w:color="000000" w:space="0" w:sz="4" w:val="single"/>
              <w:left w:color="000000" w:space="0" w:sz="0" w:val="nil"/>
              <w:right w:color="000000" w:space="0" w:sz="0" w:val="nil"/>
            </w:tcBorders>
            <w:shd w:fill="auto" w:val="clear"/>
            <w:vAlign w:val="center"/>
          </w:tcPr>
          <w:p w:rsidR="00000000" w:rsidDel="00000000" w:rsidP="00000000" w:rsidRDefault="00000000" w:rsidRPr="00000000" w14:paraId="00000E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0"/>
                <w:szCs w:val="20"/>
              </w:rPr>
            </w:pPr>
            <w:r w:rsidDel="00000000" w:rsidR="00000000" w:rsidRPr="00000000">
              <w:rPr>
                <w:rtl w:val="0"/>
              </w:rPr>
            </w:r>
          </w:p>
        </w:tc>
        <w:tc>
          <w:tcPr>
            <w:vMerge w:val="continue"/>
            <w:tcBorders>
              <w:top w:color="000000" w:space="0" w:sz="4" w:val="single"/>
              <w:left w:color="000000" w:space="0" w:sz="0" w:val="nil"/>
              <w:right w:color="000000" w:space="0" w:sz="0" w:val="nil"/>
            </w:tcBorders>
            <w:shd w:fill="auto" w:val="clear"/>
            <w:vAlign w:val="center"/>
          </w:tcPr>
          <w:p w:rsidR="00000000" w:rsidDel="00000000" w:rsidP="00000000" w:rsidRDefault="00000000" w:rsidRPr="00000000" w14:paraId="00000E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0"/>
                <w:szCs w:val="20"/>
              </w:rPr>
            </w:pPr>
            <w:r w:rsidDel="00000000" w:rsidR="00000000" w:rsidRPr="00000000">
              <w:rPr>
                <w:rtl w:val="0"/>
              </w:rPr>
            </w:r>
          </w:p>
        </w:tc>
      </w:tr>
      <w:tr>
        <w:trPr>
          <w:cantSplit w:val="0"/>
          <w:trHeight w:val="281" w:hRule="atLeast"/>
          <w:tblHeader w:val="0"/>
        </w:trPr>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E91">
            <w:pPr>
              <w:tabs>
                <w:tab w:val="left" w:leader="none" w:pos="288"/>
                <w:tab w:val="left" w:leader="none" w:pos="1915"/>
              </w:tabs>
              <w:spacing w:after="0" w:line="240" w:lineRule="auto"/>
              <w:rPr>
                <w:rFonts w:ascii="Times New Roman" w:cs="Times New Roman" w:eastAsia="Times New Roman" w:hAnsi="Times New Roman"/>
                <w:b w:val="1"/>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E92">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 N</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E93">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E94">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N</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E95">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E96">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N</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E97">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w:t>
            </w:r>
          </w:p>
        </w:tc>
        <w:tc>
          <w:tcPr>
            <w:vMerge w:val="continue"/>
            <w:tcBorders>
              <w:top w:color="000000" w:space="0" w:sz="4" w:val="single"/>
              <w:left w:color="000000" w:space="0" w:sz="0" w:val="nil"/>
              <w:right w:color="000000" w:space="0" w:sz="0" w:val="nil"/>
            </w:tcBorders>
            <w:shd w:fill="auto" w:val="clear"/>
            <w:vAlign w:val="center"/>
          </w:tcPr>
          <w:p w:rsidR="00000000" w:rsidDel="00000000" w:rsidP="00000000" w:rsidRDefault="00000000" w:rsidRPr="00000000" w14:paraId="00000E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0"/>
                <w:szCs w:val="20"/>
              </w:rPr>
            </w:pPr>
            <w:r w:rsidDel="00000000" w:rsidR="00000000" w:rsidRPr="00000000">
              <w:rPr>
                <w:rtl w:val="0"/>
              </w:rPr>
            </w:r>
          </w:p>
        </w:tc>
        <w:tc>
          <w:tcPr>
            <w:vMerge w:val="continue"/>
            <w:tcBorders>
              <w:top w:color="000000" w:space="0" w:sz="4" w:val="single"/>
              <w:left w:color="000000" w:space="0" w:sz="0" w:val="nil"/>
              <w:right w:color="000000" w:space="0" w:sz="0" w:val="nil"/>
            </w:tcBorders>
            <w:shd w:fill="auto" w:val="clear"/>
            <w:vAlign w:val="center"/>
          </w:tcPr>
          <w:p w:rsidR="00000000" w:rsidDel="00000000" w:rsidP="00000000" w:rsidRDefault="00000000" w:rsidRPr="00000000" w14:paraId="00000E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0"/>
                <w:szCs w:val="20"/>
              </w:rPr>
            </w:pPr>
            <w:r w:rsidDel="00000000" w:rsidR="00000000" w:rsidRPr="00000000">
              <w:rPr>
                <w:rtl w:val="0"/>
              </w:rPr>
            </w:r>
          </w:p>
        </w:tc>
        <w:tc>
          <w:tcPr>
            <w:vMerge w:val="continue"/>
            <w:tcBorders>
              <w:top w:color="000000" w:space="0" w:sz="4" w:val="single"/>
              <w:left w:color="000000" w:space="0" w:sz="0" w:val="nil"/>
              <w:right w:color="000000" w:space="0" w:sz="0" w:val="nil"/>
            </w:tcBorders>
            <w:shd w:fill="auto" w:val="clear"/>
            <w:vAlign w:val="center"/>
          </w:tcPr>
          <w:p w:rsidR="00000000" w:rsidDel="00000000" w:rsidP="00000000" w:rsidRDefault="00000000" w:rsidRPr="00000000" w14:paraId="00000E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0"/>
                <w:szCs w:val="20"/>
              </w:rPr>
            </w:pPr>
            <w:r w:rsidDel="00000000" w:rsidR="00000000" w:rsidRPr="00000000">
              <w:rPr>
                <w:rtl w:val="0"/>
              </w:rPr>
            </w:r>
          </w:p>
        </w:tc>
        <w:tc>
          <w:tcPr>
            <w:vMerge w:val="continue"/>
            <w:tcBorders>
              <w:top w:color="000000" w:space="0" w:sz="4" w:val="single"/>
              <w:left w:color="000000" w:space="0" w:sz="0" w:val="nil"/>
              <w:right w:color="000000" w:space="0" w:sz="0" w:val="nil"/>
            </w:tcBorders>
            <w:shd w:fill="auto" w:val="clear"/>
            <w:vAlign w:val="center"/>
          </w:tcPr>
          <w:p w:rsidR="00000000" w:rsidDel="00000000" w:rsidP="00000000" w:rsidRDefault="00000000" w:rsidRPr="00000000" w14:paraId="00000E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0"/>
                <w:szCs w:val="20"/>
              </w:rPr>
            </w:pPr>
            <w:r w:rsidDel="00000000" w:rsidR="00000000" w:rsidRPr="00000000">
              <w:rPr>
                <w:rtl w:val="0"/>
              </w:rPr>
            </w:r>
          </w:p>
        </w:tc>
        <w:tc>
          <w:tcPr>
            <w:vMerge w:val="continue"/>
            <w:tcBorders>
              <w:top w:color="000000" w:space="0" w:sz="4" w:val="single"/>
              <w:left w:color="000000" w:space="0" w:sz="0" w:val="nil"/>
              <w:right w:color="000000" w:space="0" w:sz="0" w:val="nil"/>
            </w:tcBorders>
            <w:shd w:fill="auto" w:val="clear"/>
            <w:vAlign w:val="center"/>
          </w:tcPr>
          <w:p w:rsidR="00000000" w:rsidDel="00000000" w:rsidP="00000000" w:rsidRDefault="00000000" w:rsidRPr="00000000" w14:paraId="00000E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0"/>
                <w:szCs w:val="20"/>
              </w:rPr>
            </w:pPr>
            <w:r w:rsidDel="00000000" w:rsidR="00000000" w:rsidRPr="00000000">
              <w:rPr>
                <w:rtl w:val="0"/>
              </w:rPr>
            </w:r>
          </w:p>
        </w:tc>
      </w:tr>
      <w:tr>
        <w:trPr>
          <w:cantSplit w:val="0"/>
          <w:trHeight w:val="297"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E9D">
            <w:pPr>
              <w:tabs>
                <w:tab w:val="left" w:leader="none" w:pos="288"/>
                <w:tab w:val="left" w:leader="none" w:pos="1915"/>
              </w:tabs>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ab/>
              <w:t xml:space="preserve">0-9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E9E">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E9F">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0,98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EA0">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914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EA1">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99,02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EA2">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923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EA3">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18,15</w:t>
            </w:r>
          </w:p>
        </w:tc>
        <w:tc>
          <w:tcPr>
            <w:vMerge w:val="restart"/>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EA4">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8,0925</w:t>
            </w:r>
          </w:p>
        </w:tc>
        <w:tc>
          <w:tcPr>
            <w:vMerge w:val="restart"/>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EA5">
            <w:pPr>
              <w:spacing w:after="0"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0,1512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EA6">
            <w:pPr>
              <w:spacing w:after="0"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2,1700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EA7">
            <w:pPr>
              <w:spacing w:after="0"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1,0385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EA8">
            <w:pPr>
              <w:spacing w:after="0"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4,5345</w:t>
            </w:r>
          </w:p>
        </w:tc>
      </w:tr>
      <w:tr>
        <w:trPr>
          <w:cantSplit w:val="0"/>
          <w:trHeight w:val="297"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EA9">
            <w:pPr>
              <w:tabs>
                <w:tab w:val="left" w:leader="none" w:pos="288"/>
                <w:tab w:val="left" w:leader="none" w:pos="1915"/>
              </w:tabs>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ab/>
              <w:t xml:space="preserve">10-19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EAA">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EAB">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1,32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EAC">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599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EAD">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98,68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EAE">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607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EAF">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11,94</w:t>
            </w:r>
          </w:p>
        </w:tc>
        <w:tc>
          <w:tcPr>
            <w:vMerge w:val="continue"/>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E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E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EB2">
            <w:pPr>
              <w:spacing w:after="0"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1,5999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EB3">
            <w:pPr>
              <w:spacing w:after="0"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0,7380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EB4">
            <w:pPr>
              <w:spacing w:after="0"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3,4684</w:t>
            </w:r>
          </w:p>
        </w:tc>
      </w:tr>
      <w:tr>
        <w:trPr>
          <w:cantSplit w:val="0"/>
          <w:trHeight w:val="297"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EB5">
            <w:pPr>
              <w:tabs>
                <w:tab w:val="left" w:leader="none" w:pos="288"/>
                <w:tab w:val="left" w:leader="none" w:pos="1915"/>
              </w:tabs>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ab/>
              <w:t xml:space="preserve">20-39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EB6">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EB7">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2,09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EB8">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1638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EB9">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97,91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EBA">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1673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EBB">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32,91</w:t>
            </w:r>
          </w:p>
        </w:tc>
        <w:tc>
          <w:tcPr>
            <w:vMerge w:val="continue"/>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E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E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EBE">
            <w:pPr>
              <w:spacing w:after="0"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EBF">
            <w:pPr>
              <w:spacing w:after="0" w:line="240" w:lineRule="auto"/>
              <w:jc w:val="righ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EC0">
            <w:pPr>
              <w:spacing w:after="0" w:line="240" w:lineRule="auto"/>
              <w:jc w:val="right"/>
              <w:rPr>
                <w:rFonts w:ascii="Times New Roman" w:cs="Times New Roman" w:eastAsia="Times New Roman" w:hAnsi="Times New Roman"/>
                <w:sz w:val="20"/>
                <w:szCs w:val="20"/>
              </w:rPr>
            </w:pPr>
            <w:r w:rsidDel="00000000" w:rsidR="00000000" w:rsidRPr="00000000">
              <w:rPr>
                <w:rtl w:val="0"/>
              </w:rPr>
            </w:r>
          </w:p>
        </w:tc>
      </w:tr>
      <w:tr>
        <w:trPr>
          <w:cantSplit w:val="0"/>
          <w:trHeight w:val="297"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EC1">
            <w:pPr>
              <w:tabs>
                <w:tab w:val="left" w:leader="none" w:pos="288"/>
                <w:tab w:val="left" w:leader="none" w:pos="1915"/>
              </w:tabs>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ab/>
              <w:t xml:space="preserve">40-59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EC2">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EC3">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1,32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EC4">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1269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EC5">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98,68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EC6">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1286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EC7">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25,30</w:t>
            </w:r>
          </w:p>
        </w:tc>
        <w:tc>
          <w:tcPr>
            <w:vMerge w:val="continue"/>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E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E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ECA">
            <w:pPr>
              <w:spacing w:after="0"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1,5950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ECB">
            <w:pPr>
              <w:spacing w:after="0"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0,8894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ECC">
            <w:pPr>
              <w:spacing w:after="0"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2,8603</w:t>
            </w:r>
          </w:p>
        </w:tc>
      </w:tr>
      <w:tr>
        <w:trPr>
          <w:cantSplit w:val="0"/>
          <w:trHeight w:val="297"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ECD">
            <w:pPr>
              <w:tabs>
                <w:tab w:val="left" w:leader="none" w:pos="288"/>
                <w:tab w:val="left" w:leader="none" w:pos="1915"/>
              </w:tabs>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ab/>
              <w:t xml:space="preserve">60-79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ECE">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ECF">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1,90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ED0">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516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ED1">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98,10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ED2">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526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ED3">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10,35</w:t>
            </w:r>
          </w:p>
        </w:tc>
        <w:tc>
          <w:tcPr>
            <w:vMerge w:val="continue"/>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E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E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ED6">
            <w:pPr>
              <w:spacing w:after="0"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1,1026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ED7">
            <w:pPr>
              <w:spacing w:after="0"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0,5422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ED8">
            <w:pPr>
              <w:spacing w:after="0"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2,4220</w:t>
            </w:r>
          </w:p>
        </w:tc>
      </w:tr>
      <w:tr>
        <w:trPr>
          <w:cantSplit w:val="0"/>
          <w:trHeight w:val="297"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ED9">
            <w:pPr>
              <w:tabs>
                <w:tab w:val="left" w:leader="none" w:pos="288"/>
                <w:tab w:val="left" w:leader="none" w:pos="1915"/>
              </w:tabs>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ab/>
              <w:t xml:space="preserve">80 e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EDA">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EDB">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0,00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EDC">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69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EDD">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100,00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EDE">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69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EDF">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1,36</w:t>
            </w:r>
          </w:p>
        </w:tc>
        <w:tc>
          <w:tcPr>
            <w:vMerge w:val="continue"/>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E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E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EE2">
            <w:pPr>
              <w:spacing w:after="0"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ndn</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EE3">
            <w:pPr>
              <w:spacing w:after="0"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ndn</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EE4">
            <w:pPr>
              <w:spacing w:after="0"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ndn</w:t>
            </w:r>
          </w:p>
        </w:tc>
      </w:tr>
      <w:tr>
        <w:trPr>
          <w:cantSplit w:val="0"/>
          <w:trHeight w:val="297" w:hRule="atLeast"/>
          <w:tblHeader w:val="0"/>
        </w:trPr>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EE5">
            <w:pPr>
              <w:tabs>
                <w:tab w:val="left" w:leader="none" w:pos="288"/>
                <w:tab w:val="left" w:leader="none" w:pos="1915"/>
              </w:tabs>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Sexo</w:t>
            </w:r>
          </w:p>
        </w:tc>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EE6">
            <w:pPr>
              <w:spacing w:after="0" w:line="240" w:lineRule="auto"/>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 </w:t>
            </w:r>
          </w:p>
        </w:tc>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EE7">
            <w:pPr>
              <w:spacing w:after="0" w:line="240" w:lineRule="auto"/>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 </w:t>
            </w:r>
          </w:p>
        </w:tc>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EE8">
            <w:pPr>
              <w:spacing w:after="0" w:line="240" w:lineRule="auto"/>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 </w:t>
            </w:r>
          </w:p>
        </w:tc>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EE9">
            <w:pPr>
              <w:spacing w:after="0" w:line="240" w:lineRule="auto"/>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 </w:t>
            </w:r>
          </w:p>
        </w:tc>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EEA">
            <w:pPr>
              <w:spacing w:after="0" w:line="240" w:lineRule="auto"/>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 </w:t>
            </w:r>
          </w:p>
        </w:tc>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EEB">
            <w:pPr>
              <w:spacing w:after="0" w:line="240" w:lineRule="auto"/>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 </w:t>
            </w:r>
          </w:p>
        </w:tc>
        <w:tc>
          <w:tcPr>
            <w:tcBorders>
              <w:top w:color="000000" w:space="0" w:sz="4" w:val="single"/>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EEC">
            <w:pPr>
              <w:spacing w:after="0" w:line="240" w:lineRule="auto"/>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 </w:t>
            </w:r>
          </w:p>
        </w:tc>
        <w:tc>
          <w:tcPr>
            <w:tcBorders>
              <w:top w:color="000000" w:space="0" w:sz="4" w:val="single"/>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EED">
            <w:pPr>
              <w:spacing w:after="0" w:line="240" w:lineRule="auto"/>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 </w:t>
            </w:r>
          </w:p>
        </w:tc>
        <w:tc>
          <w:tcPr>
            <w:tcBorders>
              <w:top w:color="000000" w:space="0" w:sz="4" w:val="single"/>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EEE">
            <w:pPr>
              <w:spacing w:after="0" w:line="240" w:lineRule="auto"/>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 </w:t>
            </w:r>
          </w:p>
        </w:tc>
        <w:tc>
          <w:tcPr>
            <w:tcBorders>
              <w:top w:color="000000" w:space="0" w:sz="4" w:val="single"/>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EEF">
            <w:pPr>
              <w:spacing w:after="0" w:line="240" w:lineRule="auto"/>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 </w:t>
            </w:r>
          </w:p>
        </w:tc>
        <w:tc>
          <w:tcPr>
            <w:tcBorders>
              <w:top w:color="000000" w:space="0" w:sz="4" w:val="single"/>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EF0">
            <w:pPr>
              <w:spacing w:after="0" w:line="240" w:lineRule="auto"/>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 </w:t>
            </w:r>
          </w:p>
        </w:tc>
      </w:tr>
      <w:tr>
        <w:trPr>
          <w:cantSplit w:val="0"/>
          <w:trHeight w:val="297"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EF1">
            <w:pPr>
              <w:tabs>
                <w:tab w:val="left" w:leader="none" w:pos="288"/>
                <w:tab w:val="left" w:leader="none" w:pos="1915"/>
              </w:tabs>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ab/>
              <w:t xml:space="preserve">Feminino</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EF2">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41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EF3">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1,56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EF4">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2594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EF5">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98,44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EF6">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2635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EF7">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47,94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EF8">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0,0000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EF9">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1,0000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EFA">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1,0119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EFB">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0,6567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EFC">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1,5569 (M)</w:t>
            </w:r>
          </w:p>
        </w:tc>
      </w:tr>
      <w:tr>
        <w:trPr>
          <w:cantSplit w:val="0"/>
          <w:trHeight w:val="341"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EFD">
            <w:pPr>
              <w:tabs>
                <w:tab w:val="left" w:leader="none" w:pos="288"/>
                <w:tab w:val="left" w:leader="none" w:pos="1915"/>
              </w:tabs>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ab/>
              <w:t xml:space="preserve">Masculino</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EFE">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44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EFF">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1,54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F00">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2817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F01">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98,46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F02">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2861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F03">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52,06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F04">
            <w:pPr>
              <w:spacing w:after="0" w:line="240" w:lineRule="auto"/>
              <w:jc w:val="right"/>
              <w:rPr>
                <w:rFonts w:ascii="Times New Roman" w:cs="Times New Roman" w:eastAsia="Times New Roman" w:hAnsi="Times New Roman"/>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F05">
            <w:pPr>
              <w:spacing w:after="0" w:line="240" w:lineRule="auto"/>
              <w:jc w:val="righ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F06">
            <w:pPr>
              <w:spacing w:after="0" w:line="240" w:lineRule="auto"/>
              <w:jc w:val="righ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F07">
            <w:pPr>
              <w:spacing w:after="0" w:line="240" w:lineRule="auto"/>
              <w:jc w:val="righ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F08">
            <w:pPr>
              <w:spacing w:after="0" w:line="240" w:lineRule="auto"/>
              <w:jc w:val="right"/>
              <w:rPr>
                <w:rFonts w:ascii="Times New Roman" w:cs="Times New Roman" w:eastAsia="Times New Roman" w:hAnsi="Times New Roman"/>
                <w:sz w:val="20"/>
                <w:szCs w:val="20"/>
              </w:rPr>
            </w:pPr>
            <w:r w:rsidDel="00000000" w:rsidR="00000000" w:rsidRPr="00000000">
              <w:rPr>
                <w:rtl w:val="0"/>
              </w:rPr>
            </w:r>
          </w:p>
        </w:tc>
      </w:tr>
      <w:tr>
        <w:trPr>
          <w:cantSplit w:val="0"/>
          <w:trHeight w:val="297" w:hRule="atLeast"/>
          <w:tblHeader w:val="0"/>
        </w:trPr>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F09">
            <w:pPr>
              <w:tabs>
                <w:tab w:val="left" w:leader="none" w:pos="288"/>
                <w:tab w:val="left" w:leader="none" w:pos="1915"/>
              </w:tabs>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Gestante</w:t>
            </w:r>
          </w:p>
        </w:tc>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F0A">
            <w:pPr>
              <w:spacing w:after="0" w:line="240" w:lineRule="auto"/>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 </w:t>
            </w:r>
          </w:p>
        </w:tc>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F0B">
            <w:pPr>
              <w:spacing w:after="0" w:line="240" w:lineRule="auto"/>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 </w:t>
            </w:r>
          </w:p>
        </w:tc>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F0C">
            <w:pPr>
              <w:spacing w:after="0" w:line="240" w:lineRule="auto"/>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 </w:t>
            </w:r>
          </w:p>
        </w:tc>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F0D">
            <w:pPr>
              <w:spacing w:after="0" w:line="240" w:lineRule="auto"/>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 </w:t>
            </w:r>
          </w:p>
        </w:tc>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F0E">
            <w:pPr>
              <w:spacing w:after="0" w:line="240" w:lineRule="auto"/>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 </w:t>
            </w:r>
          </w:p>
        </w:tc>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F0F">
            <w:pPr>
              <w:spacing w:after="0" w:line="240" w:lineRule="auto"/>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 </w:t>
            </w:r>
          </w:p>
        </w:tc>
        <w:tc>
          <w:tcPr>
            <w:tcBorders>
              <w:top w:color="000000" w:space="0" w:sz="4" w:val="single"/>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F10">
            <w:pPr>
              <w:spacing w:after="0" w:line="240" w:lineRule="auto"/>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 </w:t>
            </w:r>
          </w:p>
        </w:tc>
        <w:tc>
          <w:tcPr>
            <w:tcBorders>
              <w:top w:color="000000" w:space="0" w:sz="4" w:val="single"/>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F11">
            <w:pPr>
              <w:spacing w:after="0" w:line="240" w:lineRule="auto"/>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 </w:t>
            </w:r>
          </w:p>
        </w:tc>
        <w:tc>
          <w:tcPr>
            <w:tcBorders>
              <w:top w:color="000000" w:space="0" w:sz="4" w:val="single"/>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F12">
            <w:pPr>
              <w:spacing w:after="0" w:line="240" w:lineRule="auto"/>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 </w:t>
            </w:r>
          </w:p>
        </w:tc>
        <w:tc>
          <w:tcPr>
            <w:tcBorders>
              <w:top w:color="000000" w:space="0" w:sz="4" w:val="single"/>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F13">
            <w:pPr>
              <w:spacing w:after="0" w:line="240" w:lineRule="auto"/>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 </w:t>
            </w:r>
          </w:p>
        </w:tc>
        <w:tc>
          <w:tcPr>
            <w:tcBorders>
              <w:top w:color="000000" w:space="0" w:sz="4" w:val="single"/>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F14">
            <w:pPr>
              <w:spacing w:after="0" w:line="240" w:lineRule="auto"/>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 </w:t>
            </w:r>
          </w:p>
        </w:tc>
      </w:tr>
      <w:tr>
        <w:trPr>
          <w:cantSplit w:val="0"/>
          <w:trHeight w:val="297"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F15">
            <w:pPr>
              <w:tabs>
                <w:tab w:val="left" w:leader="none" w:pos="288"/>
                <w:tab w:val="left" w:leader="none" w:pos="1915"/>
              </w:tabs>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ab/>
              <w:t xml:space="preserve">Não</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F16">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F17">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1,98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F18">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1736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F19">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98,02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F1A">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1771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F1B">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98,39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F1C">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0,0075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F1D">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0,93010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F1E">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Un</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F1F">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0,1778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F20">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Um</w:t>
            </w:r>
          </w:p>
        </w:tc>
      </w:tr>
      <w:tr>
        <w:trPr>
          <w:cantSplit w:val="0"/>
          <w:trHeight w:val="297"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F21">
            <w:pPr>
              <w:tabs>
                <w:tab w:val="left" w:leader="none" w:pos="288"/>
                <w:tab w:val="left" w:leader="none" w:pos="1915"/>
              </w:tabs>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ab/>
              <w:t xml:space="preserve">Sim</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F22">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F23">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0,00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F24">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F25">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100,00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F26">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F27">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1,61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F28">
            <w:pPr>
              <w:spacing w:after="0" w:line="240" w:lineRule="auto"/>
              <w:jc w:val="right"/>
              <w:rPr>
                <w:rFonts w:ascii="Times New Roman" w:cs="Times New Roman" w:eastAsia="Times New Roman" w:hAnsi="Times New Roman"/>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F29">
            <w:pPr>
              <w:spacing w:after="0" w:line="240" w:lineRule="auto"/>
              <w:jc w:val="righ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F2A">
            <w:pPr>
              <w:spacing w:after="0" w:line="240" w:lineRule="auto"/>
              <w:jc w:val="righ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F2B">
            <w:pPr>
              <w:spacing w:after="0" w:line="240" w:lineRule="auto"/>
              <w:jc w:val="righ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F2C">
            <w:pPr>
              <w:spacing w:after="0" w:line="240" w:lineRule="auto"/>
              <w:jc w:val="right"/>
              <w:rPr>
                <w:rFonts w:ascii="Times New Roman" w:cs="Times New Roman" w:eastAsia="Times New Roman" w:hAnsi="Times New Roman"/>
                <w:sz w:val="20"/>
                <w:szCs w:val="20"/>
              </w:rPr>
            </w:pPr>
            <w:r w:rsidDel="00000000" w:rsidR="00000000" w:rsidRPr="00000000">
              <w:rPr>
                <w:rtl w:val="0"/>
              </w:rPr>
            </w:r>
          </w:p>
        </w:tc>
      </w:tr>
      <w:tr>
        <w:trPr>
          <w:cantSplit w:val="0"/>
          <w:trHeight w:val="297" w:hRule="atLeast"/>
          <w:tblHeader w:val="0"/>
        </w:trPr>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F2D">
            <w:pPr>
              <w:tabs>
                <w:tab w:val="left" w:leader="none" w:pos="288"/>
                <w:tab w:val="left" w:leader="none" w:pos="1915"/>
              </w:tabs>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Raça</w:t>
            </w:r>
          </w:p>
        </w:tc>
        <w:tc>
          <w:tcPr>
            <w:gridSpan w:val="2"/>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F2E">
            <w:pPr>
              <w:spacing w:after="0" w:line="240" w:lineRule="auto"/>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 </w:t>
            </w:r>
          </w:p>
        </w:tc>
        <w:tc>
          <w:tcPr>
            <w:gridSpan w:val="2"/>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F30">
            <w:pPr>
              <w:spacing w:after="0" w:line="240" w:lineRule="auto"/>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 </w:t>
            </w:r>
          </w:p>
        </w:tc>
        <w:tc>
          <w:tcPr>
            <w:gridSpan w:val="2"/>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F32">
            <w:pPr>
              <w:spacing w:after="0" w:line="240" w:lineRule="auto"/>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 </w:t>
            </w:r>
          </w:p>
        </w:tc>
        <w:tc>
          <w:tcPr>
            <w:tcBorders>
              <w:top w:color="000000" w:space="0" w:sz="4" w:val="single"/>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F34">
            <w:pPr>
              <w:spacing w:after="0" w:line="240" w:lineRule="auto"/>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 </w:t>
            </w:r>
          </w:p>
        </w:tc>
        <w:tc>
          <w:tcPr>
            <w:tcBorders>
              <w:top w:color="000000" w:space="0" w:sz="4" w:val="single"/>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F35">
            <w:pPr>
              <w:spacing w:after="0" w:line="240" w:lineRule="auto"/>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 </w:t>
            </w:r>
          </w:p>
        </w:tc>
        <w:tc>
          <w:tcPr>
            <w:tcBorders>
              <w:top w:color="000000" w:space="0" w:sz="4" w:val="single"/>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F36">
            <w:pPr>
              <w:spacing w:after="0" w:line="240" w:lineRule="auto"/>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 </w:t>
            </w:r>
          </w:p>
        </w:tc>
        <w:tc>
          <w:tcPr>
            <w:tcBorders>
              <w:top w:color="000000" w:space="0" w:sz="4" w:val="single"/>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F37">
            <w:pPr>
              <w:spacing w:after="0" w:line="240" w:lineRule="auto"/>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 </w:t>
            </w:r>
          </w:p>
        </w:tc>
        <w:tc>
          <w:tcPr>
            <w:tcBorders>
              <w:top w:color="000000" w:space="0" w:sz="4" w:val="single"/>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F38">
            <w:pPr>
              <w:spacing w:after="0" w:line="240" w:lineRule="auto"/>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 </w:t>
            </w:r>
          </w:p>
        </w:tc>
      </w:tr>
      <w:tr>
        <w:trPr>
          <w:cantSplit w:val="0"/>
          <w:trHeight w:val="297"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F39">
            <w:pPr>
              <w:tabs>
                <w:tab w:val="left" w:leader="none" w:pos="288"/>
                <w:tab w:val="left" w:leader="none" w:pos="1915"/>
              </w:tabs>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ab/>
              <w:t xml:space="preserve">Amarela</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F3A">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F3B">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0,00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F3C">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F3D">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100,00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F3E">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F3F">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0,18</w:t>
            </w:r>
          </w:p>
        </w:tc>
        <w:tc>
          <w:tcPr>
            <w:vMerge w:val="restart"/>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F40">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6,3715</w:t>
            </w:r>
          </w:p>
        </w:tc>
        <w:tc>
          <w:tcPr>
            <w:vMerge w:val="restart"/>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F41">
            <w:pPr>
              <w:spacing w:after="0"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0,2717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F42">
            <w:pPr>
              <w:spacing w:after="0"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ndn</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F43">
            <w:pPr>
              <w:spacing w:after="0"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ndn</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F44">
            <w:pPr>
              <w:spacing w:after="0"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Ndn</w:t>
            </w:r>
          </w:p>
        </w:tc>
      </w:tr>
      <w:tr>
        <w:trPr>
          <w:cantSplit w:val="0"/>
          <w:trHeight w:val="297"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F45">
            <w:pPr>
              <w:tabs>
                <w:tab w:val="left" w:leader="none" w:pos="288"/>
                <w:tab w:val="left" w:leader="none" w:pos="1915"/>
              </w:tabs>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ab/>
              <w:t xml:space="preserve">Branca</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F46">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F47">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3,10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F48">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469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F49">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96,90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F4A">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484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F4B">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8,82</w:t>
            </w:r>
          </w:p>
        </w:tc>
        <w:tc>
          <w:tcPr>
            <w:vMerge w:val="continue"/>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F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F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F4E">
            <w:pPr>
              <w:spacing w:after="0"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2,7816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F4F">
            <w:pPr>
              <w:spacing w:after="0"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0,3544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F50">
            <w:pPr>
              <w:spacing w:after="0"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20,8535</w:t>
            </w:r>
          </w:p>
        </w:tc>
      </w:tr>
      <w:tr>
        <w:trPr>
          <w:cantSplit w:val="0"/>
          <w:trHeight w:val="297"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F51">
            <w:pPr>
              <w:tabs>
                <w:tab w:val="left" w:leader="none" w:pos="288"/>
                <w:tab w:val="left" w:leader="none" w:pos="1915"/>
              </w:tabs>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ab/>
              <w:t xml:space="preserve">Ignorado</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F52">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F53">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1,16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F54">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85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F55">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98,84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F56">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86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F57">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1,57</w:t>
            </w:r>
          </w:p>
        </w:tc>
        <w:tc>
          <w:tcPr>
            <w:vMerge w:val="continue"/>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F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F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F5A">
            <w:pPr>
              <w:spacing w:after="0"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F5B">
            <w:pPr>
              <w:spacing w:after="0" w:line="240" w:lineRule="auto"/>
              <w:jc w:val="righ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F5C">
            <w:pPr>
              <w:spacing w:after="0" w:line="240" w:lineRule="auto"/>
              <w:jc w:val="right"/>
              <w:rPr>
                <w:rFonts w:ascii="Times New Roman" w:cs="Times New Roman" w:eastAsia="Times New Roman" w:hAnsi="Times New Roman"/>
                <w:sz w:val="20"/>
                <w:szCs w:val="20"/>
              </w:rPr>
            </w:pPr>
            <w:r w:rsidDel="00000000" w:rsidR="00000000" w:rsidRPr="00000000">
              <w:rPr>
                <w:rtl w:val="0"/>
              </w:rPr>
            </w:r>
          </w:p>
        </w:tc>
      </w:tr>
      <w:tr>
        <w:trPr>
          <w:cantSplit w:val="0"/>
          <w:trHeight w:val="297"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F5D">
            <w:pPr>
              <w:tabs>
                <w:tab w:val="left" w:leader="none" w:pos="288"/>
                <w:tab w:val="left" w:leader="none" w:pos="1915"/>
              </w:tabs>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ab/>
              <w:t xml:space="preserve">Indígena</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F5E">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F5F">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0,00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F60">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F61">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100,00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F62">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F63">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0,16</w:t>
            </w:r>
          </w:p>
        </w:tc>
        <w:tc>
          <w:tcPr>
            <w:vMerge w:val="continue"/>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F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F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F66">
            <w:pPr>
              <w:spacing w:after="0"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ndn</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F67">
            <w:pPr>
              <w:spacing w:after="0"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ndn</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F68">
            <w:pPr>
              <w:spacing w:after="0"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Ndn</w:t>
            </w:r>
          </w:p>
        </w:tc>
      </w:tr>
      <w:tr>
        <w:trPr>
          <w:cantSplit w:val="0"/>
          <w:trHeight w:val="297"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F69">
            <w:pPr>
              <w:tabs>
                <w:tab w:val="left" w:leader="none" w:pos="288"/>
                <w:tab w:val="left" w:leader="none" w:pos="1915"/>
              </w:tabs>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ab/>
              <w:t xml:space="preserve">Parda</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F6A">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58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F6B">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1,31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F6C">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4383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F6D">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98,69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F6E">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4441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F6F">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80,97</w:t>
            </w:r>
          </w:p>
        </w:tc>
        <w:tc>
          <w:tcPr>
            <w:vMerge w:val="continue"/>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F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F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F72">
            <w:pPr>
              <w:spacing w:after="0"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1,1248</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F73">
            <w:pPr>
              <w:spacing w:after="0"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0,1540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F74">
            <w:pPr>
              <w:spacing w:after="0"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8,2157</w:t>
            </w:r>
          </w:p>
        </w:tc>
      </w:tr>
      <w:tr>
        <w:trPr>
          <w:cantSplit w:val="0"/>
          <w:trHeight w:val="297"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F75">
            <w:pPr>
              <w:tabs>
                <w:tab w:val="left" w:leader="none" w:pos="288"/>
                <w:tab w:val="left" w:leader="none" w:pos="1915"/>
              </w:tabs>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ab/>
              <w:t xml:space="preserve">Preta</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F76">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F77">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2,20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F78">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445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F79">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97,80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F7A">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455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F7B">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8,30</w:t>
            </w:r>
          </w:p>
        </w:tc>
        <w:tc>
          <w:tcPr>
            <w:vMerge w:val="continue"/>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F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F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F7E">
            <w:pPr>
              <w:spacing w:after="0"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1,9101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F7F">
            <w:pPr>
              <w:spacing w:after="0"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0,2413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F80">
            <w:pPr>
              <w:spacing w:after="0"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15,1179</w:t>
            </w:r>
          </w:p>
        </w:tc>
      </w:tr>
      <w:tr>
        <w:trPr>
          <w:cantSplit w:val="0"/>
          <w:trHeight w:val="297" w:hRule="atLeast"/>
          <w:tblHeader w:val="0"/>
        </w:trPr>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F81">
            <w:pPr>
              <w:tabs>
                <w:tab w:val="left" w:leader="none" w:pos="288"/>
                <w:tab w:val="left" w:leader="none" w:pos="1915"/>
              </w:tabs>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Escolaridade</w:t>
            </w:r>
          </w:p>
        </w:tc>
        <w:tc>
          <w:tcPr>
            <w:gridSpan w:val="2"/>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F82">
            <w:pPr>
              <w:spacing w:after="0" w:line="240" w:lineRule="auto"/>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 </w:t>
            </w:r>
          </w:p>
        </w:tc>
        <w:tc>
          <w:tcPr>
            <w:gridSpan w:val="2"/>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F84">
            <w:pPr>
              <w:spacing w:after="0" w:line="240" w:lineRule="auto"/>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 </w:t>
            </w:r>
          </w:p>
        </w:tc>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F86">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F87">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F88">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F89">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F8A">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F8B">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4" w:val="single"/>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F8C">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r>
      <w:tr>
        <w:trPr>
          <w:cantSplit w:val="0"/>
          <w:trHeight w:val="551"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F8D">
            <w:pPr>
              <w:tabs>
                <w:tab w:val="left" w:leader="none" w:pos="288"/>
                <w:tab w:val="left" w:leader="none" w:pos="1915"/>
              </w:tabs>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ab/>
              <w:t xml:space="preserve">EFI</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F8E">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27</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F8F">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1,32</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F90">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2025</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F91">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98,68</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F92">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2052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F93">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49,57</w:t>
            </w:r>
          </w:p>
        </w:tc>
        <w:tc>
          <w:tcPr>
            <w:vMerge w:val="restart"/>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F94">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2,7527</w:t>
            </w:r>
          </w:p>
        </w:tc>
        <w:tc>
          <w:tcPr>
            <w:vMerge w:val="restart"/>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F95">
            <w:pPr>
              <w:spacing w:after="0"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0,7380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F96">
            <w:pPr>
              <w:spacing w:after="0"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1,2200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F97">
            <w:pPr>
              <w:spacing w:after="0"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0,2878</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F98">
            <w:pPr>
              <w:spacing w:after="0"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5,1714</w:t>
            </w:r>
          </w:p>
        </w:tc>
      </w:tr>
      <w:tr>
        <w:trPr>
          <w:cantSplit w:val="0"/>
          <w:trHeight w:val="312"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F99">
            <w:pPr>
              <w:tabs>
                <w:tab w:val="left" w:leader="none" w:pos="288"/>
                <w:tab w:val="left" w:leader="none" w:pos="1915"/>
              </w:tabs>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ab/>
              <w:t xml:space="preserve">EFC</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F9A">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4</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F9B">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2,68</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F9C">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145</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F9D">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97,32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F9E">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149</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F9F">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3,60</w:t>
            </w:r>
          </w:p>
        </w:tc>
        <w:tc>
          <w:tcPr>
            <w:vMerge w:val="continue"/>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F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F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FA2">
            <w:pPr>
              <w:spacing w:after="0"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2,5241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FA3">
            <w:pPr>
              <w:spacing w:after="0"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0,4559</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FA4">
            <w:pPr>
              <w:spacing w:after="0"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13,9746</w:t>
            </w:r>
          </w:p>
        </w:tc>
      </w:tr>
      <w:tr>
        <w:trPr>
          <w:cantSplit w:val="0"/>
          <w:trHeight w:val="297"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FA5">
            <w:pPr>
              <w:tabs>
                <w:tab w:val="left" w:leader="none" w:pos="288"/>
                <w:tab w:val="left" w:leader="none" w:pos="1915"/>
              </w:tabs>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ab/>
              <w:t xml:space="preserve">EMC</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FA6">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20</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FA7">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1,65</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FA8">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1189</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FA9">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98,35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FAA">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1209</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FAB">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29,20</w:t>
            </w:r>
          </w:p>
        </w:tc>
        <w:tc>
          <w:tcPr>
            <w:vMerge w:val="continue"/>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F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F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FAE">
            <w:pPr>
              <w:spacing w:after="0"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1,5391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FAF">
            <w:pPr>
              <w:spacing w:after="0"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0,3568</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FB0">
            <w:pPr>
              <w:spacing w:after="0"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6,6398</w:t>
            </w:r>
          </w:p>
        </w:tc>
      </w:tr>
      <w:tr>
        <w:trPr>
          <w:cantSplit w:val="0"/>
          <w:trHeight w:val="297"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FB1">
            <w:pPr>
              <w:tabs>
                <w:tab w:val="left" w:leader="none" w:pos="288"/>
                <w:tab w:val="left" w:leader="none" w:pos="1915"/>
              </w:tabs>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ab/>
              <w:t xml:space="preserve">EMI</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FB2">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7</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FB3">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1,98</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FB4">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346</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FB5">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98,02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FB6">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353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FB7">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8,53</w:t>
            </w:r>
          </w:p>
        </w:tc>
        <w:tc>
          <w:tcPr>
            <w:vMerge w:val="continue"/>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F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F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FBA">
            <w:pPr>
              <w:spacing w:after="0"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1,8512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FBB">
            <w:pPr>
              <w:spacing w:after="0"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0,3807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FBC">
            <w:pPr>
              <w:spacing w:after="0"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9,0023</w:t>
            </w:r>
          </w:p>
        </w:tc>
      </w:tr>
      <w:tr>
        <w:trPr>
          <w:cantSplit w:val="0"/>
          <w:trHeight w:val="297"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FBD">
            <w:pPr>
              <w:tabs>
                <w:tab w:val="left" w:leader="none" w:pos="288"/>
                <w:tab w:val="left" w:leader="none" w:pos="1915"/>
              </w:tabs>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ab/>
              <w:t xml:space="preserve">ESI</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FBE">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FBF">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3,23</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FC0">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190</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FC1">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98,96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FC2">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192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FC3">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4,64</w:t>
            </w:r>
          </w:p>
        </w:tc>
        <w:tc>
          <w:tcPr>
            <w:vMerge w:val="continue"/>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F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F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FC6">
            <w:pPr>
              <w:spacing w:after="0"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0,9632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FC7">
            <w:pPr>
              <w:spacing w:after="0"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ndn</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FC8">
            <w:pPr>
              <w:spacing w:after="0"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ndn </w:t>
            </w:r>
          </w:p>
        </w:tc>
      </w:tr>
      <w:tr>
        <w:trPr>
          <w:cantSplit w:val="0"/>
          <w:trHeight w:val="297"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FC9">
            <w:pPr>
              <w:tabs>
                <w:tab w:val="left" w:leader="none" w:pos="288"/>
                <w:tab w:val="left" w:leader="none" w:pos="1915"/>
              </w:tabs>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ab/>
              <w:t xml:space="preserve">ESC</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FCA">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FCB">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1,08</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FCC">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183</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FCD">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98,92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FCE">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185</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FCF">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4,47</w:t>
            </w:r>
          </w:p>
        </w:tc>
        <w:tc>
          <w:tcPr>
            <w:vMerge w:val="continue"/>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F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continue"/>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F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FD2">
            <w:pPr>
              <w:spacing w:after="0"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FD3">
            <w:pPr>
              <w:spacing w:after="0" w:line="240" w:lineRule="auto"/>
              <w:jc w:val="righ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FD4">
            <w:pPr>
              <w:spacing w:after="0" w:line="240" w:lineRule="auto"/>
              <w:jc w:val="right"/>
              <w:rPr>
                <w:rFonts w:ascii="Times New Roman" w:cs="Times New Roman" w:eastAsia="Times New Roman" w:hAnsi="Times New Roman"/>
                <w:sz w:val="20"/>
                <w:szCs w:val="20"/>
              </w:rPr>
            </w:pPr>
            <w:r w:rsidDel="00000000" w:rsidR="00000000" w:rsidRPr="00000000">
              <w:rPr>
                <w:rtl w:val="0"/>
              </w:rPr>
            </w:r>
          </w:p>
        </w:tc>
      </w:tr>
      <w:tr>
        <w:trPr>
          <w:cantSplit w:val="0"/>
          <w:trHeight w:val="297" w:hRule="atLeast"/>
          <w:tblHeader w:val="0"/>
        </w:trPr>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FD5">
            <w:pPr>
              <w:tabs>
                <w:tab w:val="left" w:leader="none" w:pos="288"/>
                <w:tab w:val="left" w:leader="none" w:pos="1915"/>
              </w:tabs>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Zona</w:t>
            </w:r>
          </w:p>
        </w:tc>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FD6">
            <w:pPr>
              <w:spacing w:after="0" w:line="240" w:lineRule="auto"/>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 </w:t>
            </w:r>
          </w:p>
        </w:tc>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FD7">
            <w:pPr>
              <w:spacing w:after="0" w:line="240" w:lineRule="auto"/>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 </w:t>
            </w:r>
          </w:p>
        </w:tc>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FD8">
            <w:pPr>
              <w:spacing w:after="0" w:line="240" w:lineRule="auto"/>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 </w:t>
            </w:r>
          </w:p>
        </w:tc>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FD9">
            <w:pPr>
              <w:spacing w:after="0" w:line="240" w:lineRule="auto"/>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 </w:t>
            </w:r>
          </w:p>
        </w:tc>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FDA">
            <w:pPr>
              <w:spacing w:after="0" w:line="240" w:lineRule="auto"/>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 </w:t>
            </w:r>
          </w:p>
        </w:tc>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FDB">
            <w:pPr>
              <w:spacing w:after="0" w:line="240" w:lineRule="auto"/>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 </w:t>
            </w:r>
          </w:p>
        </w:tc>
        <w:tc>
          <w:tcPr>
            <w:tcBorders>
              <w:top w:color="000000" w:space="0" w:sz="4" w:val="single"/>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FDC">
            <w:pPr>
              <w:spacing w:after="0" w:line="240" w:lineRule="auto"/>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 </w:t>
            </w:r>
          </w:p>
        </w:tc>
        <w:tc>
          <w:tcPr>
            <w:tcBorders>
              <w:top w:color="000000" w:space="0" w:sz="4" w:val="single"/>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FDD">
            <w:pPr>
              <w:spacing w:after="0" w:line="240" w:lineRule="auto"/>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 </w:t>
            </w:r>
          </w:p>
        </w:tc>
        <w:tc>
          <w:tcPr>
            <w:tcBorders>
              <w:top w:color="000000" w:space="0" w:sz="4" w:val="single"/>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FDE">
            <w:pPr>
              <w:spacing w:after="0" w:line="240" w:lineRule="auto"/>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 </w:t>
            </w:r>
          </w:p>
        </w:tc>
        <w:tc>
          <w:tcPr>
            <w:tcBorders>
              <w:top w:color="000000" w:space="0" w:sz="4" w:val="single"/>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FDF">
            <w:pPr>
              <w:spacing w:after="0" w:line="240" w:lineRule="auto"/>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 </w:t>
            </w:r>
          </w:p>
        </w:tc>
        <w:tc>
          <w:tcPr>
            <w:tcBorders>
              <w:top w:color="000000" w:space="0" w:sz="4" w:val="single"/>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FE0">
            <w:pPr>
              <w:spacing w:after="0" w:line="240" w:lineRule="auto"/>
              <w:jc w:val="right"/>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 </w:t>
            </w:r>
          </w:p>
        </w:tc>
      </w:tr>
      <w:tr>
        <w:trPr>
          <w:cantSplit w:val="0"/>
          <w:trHeight w:val="297" w:hRule="atLeast"/>
          <w:tblHeader w:val="0"/>
        </w:trPr>
        <w:tc>
          <w:tcPr>
            <w:tcBorders>
              <w:top w:color="000000" w:space="0" w:sz="0" w:val="nil"/>
              <w:left w:color="000000" w:space="0" w:sz="0" w:val="nil"/>
              <w:right w:color="000000" w:space="0" w:sz="0" w:val="nil"/>
            </w:tcBorders>
            <w:shd w:fill="auto" w:val="clear"/>
            <w:vAlign w:val="center"/>
          </w:tcPr>
          <w:p w:rsidR="00000000" w:rsidDel="00000000" w:rsidP="00000000" w:rsidRDefault="00000000" w:rsidRPr="00000000" w14:paraId="00000FE1">
            <w:pPr>
              <w:tabs>
                <w:tab w:val="left" w:leader="none" w:pos="288"/>
                <w:tab w:val="left" w:leader="none" w:pos="1915"/>
              </w:tabs>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ab/>
              <w:t xml:space="preserve">Rural</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0FE2">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8</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0FE3">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2,06</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0FE4">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380</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0FE5">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97,94</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0FE6">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388</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0FE7">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7,14</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0FE8">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0,6099</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0FE9">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0,434809</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0FEA">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1,4537</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0FEB">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0,6486</w:t>
            </w:r>
          </w:p>
        </w:tc>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0FEC">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2,9174 (M)</w:t>
            </w:r>
          </w:p>
        </w:tc>
      </w:tr>
      <w:tr>
        <w:trPr>
          <w:cantSplit w:val="0"/>
          <w:trHeight w:val="297" w:hRule="atLeast"/>
          <w:tblHeader w:val="0"/>
        </w:trPr>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FED">
            <w:pPr>
              <w:tabs>
                <w:tab w:val="left" w:leader="none" w:pos="288"/>
                <w:tab w:val="left" w:leader="none" w:pos="1915"/>
              </w:tabs>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ab/>
              <w:t xml:space="preserve">Urbana</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FEE">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72</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FEF">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1,43</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FF0">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4972</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FF1">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98,57</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FF2">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5044</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FF3">
            <w:pPr>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92,86</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FF4">
            <w:pPr>
              <w:spacing w:after="0" w:line="240" w:lineRule="auto"/>
              <w:jc w:val="right"/>
              <w:rPr>
                <w:rFonts w:ascii="Times New Roman" w:cs="Times New Roman" w:eastAsia="Times New Roman" w:hAnsi="Times New Roman"/>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FF5">
            <w:pPr>
              <w:spacing w:after="0" w:line="240" w:lineRule="auto"/>
              <w:jc w:val="righ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FF6">
            <w:pPr>
              <w:spacing w:after="0" w:line="240" w:lineRule="auto"/>
              <w:jc w:val="righ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FF7">
            <w:pPr>
              <w:spacing w:after="0" w:line="240" w:lineRule="auto"/>
              <w:jc w:val="righ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FF8">
            <w:pPr>
              <w:spacing w:after="0" w:line="240" w:lineRule="auto"/>
              <w:jc w:val="right"/>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FF9">
      <w:pPr>
        <w:jc w:val="both"/>
        <w:rPr>
          <w:sz w:val="16"/>
          <w:szCs w:val="16"/>
        </w:rPr>
        <w:sectPr>
          <w:type w:val="nextPage"/>
          <w:pgSz w:h="16838" w:w="11906" w:orient="portrait"/>
          <w:pgMar w:bottom="1417" w:top="1417" w:left="1701" w:right="1701" w:header="397" w:footer="680"/>
          <w:titlePg w:val="1"/>
        </w:sectPr>
      </w:pPr>
      <w:r w:rsidDel="00000000" w:rsidR="00000000" w:rsidRPr="00000000">
        <w:rPr>
          <w:rFonts w:ascii="Times New Roman" w:cs="Times New Roman" w:eastAsia="Times New Roman" w:hAnsi="Times New Roman"/>
          <w:sz w:val="16"/>
          <w:szCs w:val="16"/>
          <w:rtl w:val="0"/>
        </w:rPr>
        <w:t xml:space="preserve">EFI: Ensino fundamental incompleto; EFC: Ensino fundamental completo; EMC: Ensino médio completo; EMI: Ensino médio incompleto; ESI: Ensino superior incompleto; ESC: Ensino superior completo.</w:t>
      </w:r>
      <w:r w:rsidDel="00000000" w:rsidR="00000000" w:rsidRPr="00000000">
        <w:rPr>
          <w:rtl w:val="0"/>
        </w:rPr>
      </w:r>
    </w:p>
    <w:p w:rsidR="00000000" w:rsidDel="00000000" w:rsidP="00000000" w:rsidRDefault="00000000" w:rsidRPr="00000000" w14:paraId="00000F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60" w:before="120" w:line="240" w:lineRule="auto"/>
        <w:ind w:left="1134" w:right="0" w:hanging="1134"/>
        <w:jc w:val="both"/>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heading=h.48pi1tg" w:id="84"/>
      <w:bookmarkEnd w:id="84"/>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Tabela 15.</w:t>
        <w:tab/>
        <w:t xml:space="preserve">Frequências absolutas e relativas das espécies envolvidas em agravos a seres humanos, segundo as características sociodemográficas dos indivíduos envolvidos. Feira de Santana, BA. 2008-2019.</w:t>
      </w:r>
    </w:p>
    <w:tbl>
      <w:tblPr>
        <w:tblStyle w:val="Table21"/>
        <w:tblW w:w="8504.0" w:type="dxa"/>
        <w:jc w:val="left"/>
        <w:tblLayout w:type="fixed"/>
        <w:tblLook w:val="0400"/>
      </w:tblPr>
      <w:tblGrid>
        <w:gridCol w:w="2208"/>
        <w:gridCol w:w="582"/>
        <w:gridCol w:w="580"/>
        <w:gridCol w:w="582"/>
        <w:gridCol w:w="929"/>
        <w:gridCol w:w="697"/>
        <w:gridCol w:w="580"/>
        <w:gridCol w:w="464"/>
        <w:gridCol w:w="697"/>
        <w:gridCol w:w="464"/>
        <w:gridCol w:w="721"/>
        <w:tblGridChange w:id="0">
          <w:tblGrid>
            <w:gridCol w:w="2208"/>
            <w:gridCol w:w="582"/>
            <w:gridCol w:w="580"/>
            <w:gridCol w:w="582"/>
            <w:gridCol w:w="929"/>
            <w:gridCol w:w="697"/>
            <w:gridCol w:w="580"/>
            <w:gridCol w:w="464"/>
            <w:gridCol w:w="697"/>
            <w:gridCol w:w="464"/>
            <w:gridCol w:w="721"/>
          </w:tblGrid>
        </w:tblGridChange>
      </w:tblGrid>
      <w:tr>
        <w:trPr>
          <w:cantSplit w:val="0"/>
          <w:trHeight w:val="283" w:hRule="atLeast"/>
          <w:tblHeader w:val="0"/>
        </w:trPr>
        <w:tc>
          <w:tcPr>
            <w:tcBorders>
              <w:top w:color="000000" w:space="0" w:sz="4" w:val="single"/>
              <w:left w:color="000000" w:space="0" w:sz="0" w:val="nil"/>
              <w:bottom w:color="000000" w:space="0" w:sz="8" w:val="single"/>
              <w:right w:color="000000" w:space="0" w:sz="0" w:val="nil"/>
            </w:tcBorders>
            <w:shd w:fill="ffffff" w:val="clear"/>
            <w:vAlign w:val="center"/>
          </w:tcPr>
          <w:p w:rsidR="00000000" w:rsidDel="00000000" w:rsidP="00000000" w:rsidRDefault="00000000" w:rsidRPr="00000000" w14:paraId="00000FFB">
            <w:pPr>
              <w:spacing w:after="0" w:line="240" w:lineRule="auto"/>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Faixa Etária</w:t>
            </w:r>
          </w:p>
        </w:tc>
        <w:tc>
          <w:tcPr>
            <w:gridSpan w:val="2"/>
            <w:tcBorders>
              <w:top w:color="000000" w:space="0" w:sz="4" w:val="single"/>
              <w:left w:color="000000" w:space="0" w:sz="0" w:val="nil"/>
              <w:bottom w:color="000000" w:space="0" w:sz="8" w:val="single"/>
              <w:right w:color="000000" w:space="0" w:sz="0" w:val="nil"/>
            </w:tcBorders>
            <w:shd w:fill="ffffff" w:val="clear"/>
            <w:vAlign w:val="center"/>
          </w:tcPr>
          <w:p w:rsidR="00000000" w:rsidDel="00000000" w:rsidP="00000000" w:rsidRDefault="00000000" w:rsidRPr="00000000" w14:paraId="00000FFC">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Felina</w:t>
            </w:r>
          </w:p>
        </w:tc>
        <w:tc>
          <w:tcPr>
            <w:gridSpan w:val="2"/>
            <w:tcBorders>
              <w:top w:color="000000" w:space="0" w:sz="4" w:val="single"/>
              <w:left w:color="000000" w:space="0" w:sz="0" w:val="nil"/>
              <w:bottom w:color="000000" w:space="0" w:sz="8" w:val="single"/>
              <w:right w:color="000000" w:space="0" w:sz="0" w:val="nil"/>
            </w:tcBorders>
            <w:shd w:fill="ffffff" w:val="clear"/>
            <w:vAlign w:val="center"/>
          </w:tcPr>
          <w:p w:rsidR="00000000" w:rsidDel="00000000" w:rsidP="00000000" w:rsidRDefault="00000000" w:rsidRPr="00000000" w14:paraId="00000FFE">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Canina</w:t>
            </w:r>
          </w:p>
        </w:tc>
        <w:tc>
          <w:tcPr>
            <w:gridSpan w:val="2"/>
            <w:tcBorders>
              <w:top w:color="000000" w:space="0" w:sz="4" w:val="single"/>
              <w:left w:color="000000" w:space="0" w:sz="0" w:val="nil"/>
              <w:bottom w:color="000000" w:space="0" w:sz="8" w:val="single"/>
              <w:right w:color="000000" w:space="0" w:sz="0" w:val="nil"/>
            </w:tcBorders>
            <w:shd w:fill="ffffff" w:val="clear"/>
            <w:vAlign w:val="center"/>
          </w:tcPr>
          <w:p w:rsidR="00000000" w:rsidDel="00000000" w:rsidP="00000000" w:rsidRDefault="00000000" w:rsidRPr="00000000" w14:paraId="00001000">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Herbívoro</w:t>
            </w:r>
          </w:p>
        </w:tc>
        <w:tc>
          <w:tcPr>
            <w:gridSpan w:val="2"/>
            <w:tcBorders>
              <w:top w:color="000000" w:space="0" w:sz="4" w:val="single"/>
              <w:left w:color="000000" w:space="0" w:sz="0" w:val="nil"/>
              <w:bottom w:color="000000" w:space="0" w:sz="8" w:val="single"/>
              <w:right w:color="000000" w:space="0" w:sz="0" w:val="nil"/>
            </w:tcBorders>
            <w:shd w:fill="ffffff" w:val="clear"/>
            <w:vAlign w:val="center"/>
          </w:tcPr>
          <w:p w:rsidR="00000000" w:rsidDel="00000000" w:rsidP="00000000" w:rsidRDefault="00000000" w:rsidRPr="00000000" w14:paraId="00001002">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Silvestre</w:t>
            </w:r>
          </w:p>
        </w:tc>
        <w:tc>
          <w:tcPr>
            <w:gridSpan w:val="2"/>
            <w:tcBorders>
              <w:top w:color="000000" w:space="0" w:sz="4" w:val="single"/>
              <w:left w:color="000000" w:space="0" w:sz="0" w:val="nil"/>
              <w:bottom w:color="000000" w:space="0" w:sz="8" w:val="single"/>
              <w:right w:color="000000" w:space="0" w:sz="0" w:val="nil"/>
            </w:tcBorders>
            <w:shd w:fill="ffffff" w:val="clear"/>
            <w:vAlign w:val="center"/>
          </w:tcPr>
          <w:p w:rsidR="00000000" w:rsidDel="00000000" w:rsidP="00000000" w:rsidRDefault="00000000" w:rsidRPr="00000000" w14:paraId="00001004">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Sinantrópico</w:t>
            </w:r>
          </w:p>
        </w:tc>
      </w:tr>
      <w:tr>
        <w:trPr>
          <w:cantSplit w:val="0"/>
          <w:trHeight w:val="227" w:hRule="atLeast"/>
          <w:tblHeader w:val="0"/>
        </w:trPr>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1006">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 </w:t>
            </w:r>
          </w:p>
        </w:tc>
        <w:tc>
          <w:tcPr>
            <w:tcBorders>
              <w:top w:color="000000" w:space="0" w:sz="0" w:val="nil"/>
              <w:left w:color="000000" w:space="0" w:sz="0" w:val="nil"/>
              <w:bottom w:color="000000" w:space="0" w:sz="4" w:val="single"/>
              <w:right w:color="000000" w:space="0" w:sz="0" w:val="nil"/>
            </w:tcBorders>
            <w:shd w:fill="ffffff" w:val="clear"/>
            <w:vAlign w:val="center"/>
          </w:tcPr>
          <w:p w:rsidR="00000000" w:rsidDel="00000000" w:rsidP="00000000" w:rsidRDefault="00000000" w:rsidRPr="00000000" w14:paraId="00001007">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N</w:t>
            </w:r>
          </w:p>
        </w:tc>
        <w:tc>
          <w:tcPr>
            <w:tcBorders>
              <w:top w:color="000000" w:space="0" w:sz="0" w:val="nil"/>
              <w:left w:color="000000" w:space="0" w:sz="0" w:val="nil"/>
              <w:bottom w:color="000000" w:space="0" w:sz="4" w:val="single"/>
              <w:right w:color="000000" w:space="0" w:sz="0" w:val="nil"/>
            </w:tcBorders>
            <w:shd w:fill="ffffff" w:val="clear"/>
            <w:vAlign w:val="center"/>
          </w:tcPr>
          <w:p w:rsidR="00000000" w:rsidDel="00000000" w:rsidP="00000000" w:rsidRDefault="00000000" w:rsidRPr="00000000" w14:paraId="00001008">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w:t>
            </w:r>
          </w:p>
        </w:tc>
        <w:tc>
          <w:tcPr>
            <w:tcBorders>
              <w:top w:color="000000" w:space="0" w:sz="0" w:val="nil"/>
              <w:left w:color="000000" w:space="0" w:sz="0" w:val="nil"/>
              <w:bottom w:color="000000" w:space="0" w:sz="4" w:val="single"/>
              <w:right w:color="000000" w:space="0" w:sz="0" w:val="nil"/>
            </w:tcBorders>
            <w:shd w:fill="ffffff" w:val="clear"/>
            <w:vAlign w:val="center"/>
          </w:tcPr>
          <w:p w:rsidR="00000000" w:rsidDel="00000000" w:rsidP="00000000" w:rsidRDefault="00000000" w:rsidRPr="00000000" w14:paraId="00001009">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N</w:t>
            </w:r>
          </w:p>
        </w:tc>
        <w:tc>
          <w:tcPr>
            <w:tcBorders>
              <w:top w:color="000000" w:space="0" w:sz="0" w:val="nil"/>
              <w:left w:color="000000" w:space="0" w:sz="0" w:val="nil"/>
              <w:bottom w:color="000000" w:space="0" w:sz="4" w:val="single"/>
              <w:right w:color="000000" w:space="0" w:sz="0" w:val="nil"/>
            </w:tcBorders>
            <w:shd w:fill="ffffff" w:val="clear"/>
            <w:vAlign w:val="center"/>
          </w:tcPr>
          <w:p w:rsidR="00000000" w:rsidDel="00000000" w:rsidP="00000000" w:rsidRDefault="00000000" w:rsidRPr="00000000" w14:paraId="0000100A">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w:t>
            </w:r>
          </w:p>
        </w:tc>
        <w:tc>
          <w:tcPr>
            <w:tcBorders>
              <w:top w:color="000000" w:space="0" w:sz="0" w:val="nil"/>
              <w:left w:color="000000" w:space="0" w:sz="0" w:val="nil"/>
              <w:bottom w:color="000000" w:space="0" w:sz="4" w:val="single"/>
              <w:right w:color="000000" w:space="0" w:sz="0" w:val="nil"/>
            </w:tcBorders>
            <w:shd w:fill="ffffff" w:val="clear"/>
            <w:vAlign w:val="center"/>
          </w:tcPr>
          <w:p w:rsidR="00000000" w:rsidDel="00000000" w:rsidP="00000000" w:rsidRDefault="00000000" w:rsidRPr="00000000" w14:paraId="0000100B">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N</w:t>
            </w:r>
          </w:p>
        </w:tc>
        <w:tc>
          <w:tcPr>
            <w:tcBorders>
              <w:top w:color="000000" w:space="0" w:sz="0" w:val="nil"/>
              <w:left w:color="000000" w:space="0" w:sz="0" w:val="nil"/>
              <w:bottom w:color="000000" w:space="0" w:sz="4" w:val="single"/>
              <w:right w:color="000000" w:space="0" w:sz="0" w:val="nil"/>
            </w:tcBorders>
            <w:shd w:fill="ffffff" w:val="clear"/>
            <w:vAlign w:val="center"/>
          </w:tcPr>
          <w:p w:rsidR="00000000" w:rsidDel="00000000" w:rsidP="00000000" w:rsidRDefault="00000000" w:rsidRPr="00000000" w14:paraId="0000100C">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w:t>
            </w:r>
          </w:p>
        </w:tc>
        <w:tc>
          <w:tcPr>
            <w:tcBorders>
              <w:top w:color="000000" w:space="0" w:sz="0" w:val="nil"/>
              <w:left w:color="000000" w:space="0" w:sz="0" w:val="nil"/>
              <w:bottom w:color="000000" w:space="0" w:sz="4" w:val="single"/>
              <w:right w:color="000000" w:space="0" w:sz="0" w:val="nil"/>
            </w:tcBorders>
            <w:shd w:fill="ffffff" w:val="clear"/>
            <w:vAlign w:val="center"/>
          </w:tcPr>
          <w:p w:rsidR="00000000" w:rsidDel="00000000" w:rsidP="00000000" w:rsidRDefault="00000000" w:rsidRPr="00000000" w14:paraId="0000100D">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N</w:t>
            </w:r>
          </w:p>
        </w:tc>
        <w:tc>
          <w:tcPr>
            <w:tcBorders>
              <w:top w:color="000000" w:space="0" w:sz="0" w:val="nil"/>
              <w:left w:color="000000" w:space="0" w:sz="0" w:val="nil"/>
              <w:bottom w:color="000000" w:space="0" w:sz="4" w:val="single"/>
              <w:right w:color="000000" w:space="0" w:sz="0" w:val="nil"/>
            </w:tcBorders>
            <w:shd w:fill="ffffff" w:val="clear"/>
            <w:vAlign w:val="center"/>
          </w:tcPr>
          <w:p w:rsidR="00000000" w:rsidDel="00000000" w:rsidP="00000000" w:rsidRDefault="00000000" w:rsidRPr="00000000" w14:paraId="0000100E">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w:t>
            </w:r>
          </w:p>
        </w:tc>
        <w:tc>
          <w:tcPr>
            <w:tcBorders>
              <w:top w:color="000000" w:space="0" w:sz="0" w:val="nil"/>
              <w:left w:color="000000" w:space="0" w:sz="0" w:val="nil"/>
              <w:bottom w:color="000000" w:space="0" w:sz="4" w:val="single"/>
              <w:right w:color="000000" w:space="0" w:sz="0" w:val="nil"/>
            </w:tcBorders>
            <w:shd w:fill="ffffff" w:val="clear"/>
            <w:vAlign w:val="center"/>
          </w:tcPr>
          <w:p w:rsidR="00000000" w:rsidDel="00000000" w:rsidP="00000000" w:rsidRDefault="00000000" w:rsidRPr="00000000" w14:paraId="0000100F">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N</w:t>
            </w:r>
          </w:p>
        </w:tc>
        <w:tc>
          <w:tcPr>
            <w:tcBorders>
              <w:top w:color="000000" w:space="0" w:sz="0" w:val="nil"/>
              <w:left w:color="000000" w:space="0" w:sz="0" w:val="nil"/>
              <w:bottom w:color="000000" w:space="0" w:sz="4" w:val="single"/>
              <w:right w:color="000000" w:space="0" w:sz="0" w:val="nil"/>
            </w:tcBorders>
            <w:shd w:fill="ffffff" w:val="clear"/>
            <w:vAlign w:val="center"/>
          </w:tcPr>
          <w:p w:rsidR="00000000" w:rsidDel="00000000" w:rsidP="00000000" w:rsidRDefault="00000000" w:rsidRPr="00000000" w14:paraId="00001010">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1011">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12">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482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13">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11,06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14">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3877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15">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88,94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16">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17">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0,14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18">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47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19">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1,07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1A">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1B">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0,00</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101C">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10-19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1D">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355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1E">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10,59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1F">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2996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20">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89,41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21">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22">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0,41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23">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39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24">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1,14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25">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26">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0,15</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1027">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20-39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28">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1075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29">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16,65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2A">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5381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2B">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83,35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2C">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37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2D">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0,55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2E">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172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2F">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2,58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30">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31">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0,10</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1032">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40-59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33">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1050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34">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18,33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35">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4678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36">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81,67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37">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41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38">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0,70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39">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112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3A">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1,90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3B">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3C">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0,10</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103D">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60-79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3E">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500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3F">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17,70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40">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2325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41">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82,30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42">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43">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0,42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44">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44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45">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1,53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46">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47">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0,00</w:t>
            </w:r>
          </w:p>
        </w:tc>
      </w:tr>
      <w:tr>
        <w:trPr>
          <w:cantSplit w:val="0"/>
          <w:trHeight w:val="283" w:hRule="atLeast"/>
          <w:tblHeader w:val="0"/>
        </w:trPr>
        <w:tc>
          <w:tcPr>
            <w:tcBorders>
              <w:top w:color="000000" w:space="0" w:sz="4" w:val="single"/>
              <w:left w:color="000000" w:space="0" w:sz="0" w:val="nil"/>
              <w:bottom w:color="000000" w:space="0" w:sz="8" w:val="single"/>
              <w:right w:color="000000" w:space="0" w:sz="0" w:val="nil"/>
            </w:tcBorders>
            <w:shd w:fill="ffffff" w:val="clear"/>
            <w:vAlign w:val="center"/>
          </w:tcPr>
          <w:p w:rsidR="00000000" w:rsidDel="00000000" w:rsidP="00000000" w:rsidRDefault="00000000" w:rsidRPr="00000000" w14:paraId="00001048">
            <w:pPr>
              <w:spacing w:after="0" w:line="240" w:lineRule="auto"/>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Sexo</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1049">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104A">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104B">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104C">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104D">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104E">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104F">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1050">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1051">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1052">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 </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1053">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F</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54">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2423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55">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19,84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56">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9792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57">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80,16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58">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32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59">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0,26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5A">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239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5B">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1,91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5C">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5D">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0,11</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105E">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M</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5F">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1372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60">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10,78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61">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11356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62">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89,22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63">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89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64">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0,68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65">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216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66">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1,66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67">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68">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0,06</w:t>
            </w:r>
          </w:p>
        </w:tc>
      </w:tr>
      <w:tr>
        <w:trPr>
          <w:cantSplit w:val="0"/>
          <w:trHeight w:val="283" w:hRule="atLeast"/>
          <w:tblHeader w:val="0"/>
        </w:trPr>
        <w:tc>
          <w:tcPr>
            <w:tcBorders>
              <w:top w:color="000000" w:space="0" w:sz="4" w:val="single"/>
              <w:left w:color="000000" w:space="0" w:sz="0" w:val="nil"/>
              <w:bottom w:color="000000" w:space="0" w:sz="8" w:val="single"/>
              <w:right w:color="000000" w:space="0" w:sz="0" w:val="nil"/>
            </w:tcBorders>
            <w:shd w:fill="ffffff" w:val="clear"/>
            <w:vAlign w:val="center"/>
          </w:tcPr>
          <w:p w:rsidR="00000000" w:rsidDel="00000000" w:rsidP="00000000" w:rsidRDefault="00000000" w:rsidRPr="00000000" w14:paraId="00001069">
            <w:pPr>
              <w:spacing w:after="0" w:line="240" w:lineRule="auto"/>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Gestante</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106A">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106B">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106C">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106D">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106E">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106F">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1070">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1071">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1072">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1073">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 </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1074">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Não</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75">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1579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76">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20,43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77">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6151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78">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79,57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79">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20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7A">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0,25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7B">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148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7C">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1,87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7D">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7E">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0,09</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107F">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Sim</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80">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33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81">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23,40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82">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108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83">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76,60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84">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85">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0,69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86">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87">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1,39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88">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89">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0,00</w:t>
            </w:r>
          </w:p>
        </w:tc>
      </w:tr>
      <w:tr>
        <w:trPr>
          <w:cantSplit w:val="0"/>
          <w:trHeight w:val="283" w:hRule="atLeast"/>
          <w:tblHeader w:val="0"/>
        </w:trPr>
        <w:tc>
          <w:tcPr>
            <w:tcBorders>
              <w:top w:color="000000" w:space="0" w:sz="4" w:val="single"/>
              <w:left w:color="000000" w:space="0" w:sz="0" w:val="nil"/>
              <w:bottom w:color="000000" w:space="0" w:sz="8" w:val="single"/>
              <w:right w:color="000000" w:space="0" w:sz="0" w:val="nil"/>
            </w:tcBorders>
            <w:shd w:fill="ffffff" w:val="clear"/>
            <w:vAlign w:val="center"/>
          </w:tcPr>
          <w:p w:rsidR="00000000" w:rsidDel="00000000" w:rsidP="00000000" w:rsidRDefault="00000000" w:rsidRPr="00000000" w14:paraId="0000108A">
            <w:pPr>
              <w:spacing w:after="0" w:line="240" w:lineRule="auto"/>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Raça</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108B">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108C">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108D">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108E">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108F">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1090">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1091">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1092">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1093">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1094">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 </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1095">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Amarela</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96">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97">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23,33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98">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46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99">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76,67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9A">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9B">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1,47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9C">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9D">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10,29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9E">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9F">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0,00</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10A0">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Branca</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A1">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301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A2">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17,86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A3">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1384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A4">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82,14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A5">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A6">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0,17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A7">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49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A8">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2,82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A9">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AA">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0,12</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10AB">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Ignorado</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AC">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106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AD">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17,73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AE">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492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AF">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82,27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B0">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B1">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0,95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B2">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26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B3">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4,11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B4">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B5">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0,32</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10B6">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Indígena</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B7">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B8">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7,69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B9">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36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BA">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92,31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BB">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BC">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0,00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BD">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BE">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0,00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BF">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C0">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0,00</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10C1">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Parda</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C2">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3149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C3">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15,59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C4">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17050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C5">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84,41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C6">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99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C7">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0,48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C8">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332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C9">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1,61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CA">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CB">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0,09</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10CC">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Preta</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CD">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218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CE">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9,36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CF">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2111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D0">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90,64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D1">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D2">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0,50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D3">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39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D4">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1,64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D5">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D6">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0,00</w:t>
            </w:r>
          </w:p>
        </w:tc>
      </w:tr>
      <w:tr>
        <w:trPr>
          <w:cantSplit w:val="0"/>
          <w:trHeight w:val="283" w:hRule="atLeast"/>
          <w:tblHeader w:val="0"/>
        </w:trPr>
        <w:tc>
          <w:tcPr>
            <w:tcBorders>
              <w:top w:color="000000" w:space="0" w:sz="4" w:val="single"/>
              <w:left w:color="000000" w:space="0" w:sz="0" w:val="nil"/>
              <w:bottom w:color="000000" w:space="0" w:sz="8" w:val="single"/>
              <w:right w:color="000000" w:space="0" w:sz="0" w:val="nil"/>
            </w:tcBorders>
            <w:shd w:fill="ffffff" w:val="clear"/>
            <w:vAlign w:val="center"/>
          </w:tcPr>
          <w:p w:rsidR="00000000" w:rsidDel="00000000" w:rsidP="00000000" w:rsidRDefault="00000000" w:rsidRPr="00000000" w14:paraId="000010D7">
            <w:pPr>
              <w:spacing w:after="0" w:line="240" w:lineRule="auto"/>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Escolaridade </w:t>
            </w:r>
          </w:p>
        </w:tc>
        <w:tc>
          <w:tcPr>
            <w:tcBorders>
              <w:top w:color="000000" w:space="0" w:sz="4" w:val="single"/>
              <w:left w:color="000000" w:space="0" w:sz="0" w:val="nil"/>
              <w:bottom w:color="000000" w:space="0" w:sz="8" w:val="single"/>
              <w:right w:color="000000" w:space="0" w:sz="0" w:val="nil"/>
            </w:tcBorders>
            <w:shd w:fill="ffffff" w:val="clear"/>
            <w:vAlign w:val="center"/>
          </w:tcPr>
          <w:p w:rsidR="00000000" w:rsidDel="00000000" w:rsidP="00000000" w:rsidRDefault="00000000" w:rsidRPr="00000000" w14:paraId="000010D8">
            <w:pPr>
              <w:spacing w:after="0" w:line="240" w:lineRule="auto"/>
              <w:jc w:val="right"/>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center"/>
          </w:tcPr>
          <w:p w:rsidR="00000000" w:rsidDel="00000000" w:rsidP="00000000" w:rsidRDefault="00000000" w:rsidRPr="00000000" w14:paraId="000010D9">
            <w:pPr>
              <w:spacing w:after="0" w:line="240" w:lineRule="auto"/>
              <w:jc w:val="right"/>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center"/>
          </w:tcPr>
          <w:p w:rsidR="00000000" w:rsidDel="00000000" w:rsidP="00000000" w:rsidRDefault="00000000" w:rsidRPr="00000000" w14:paraId="000010DA">
            <w:pPr>
              <w:spacing w:after="0" w:line="240" w:lineRule="auto"/>
              <w:jc w:val="right"/>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center"/>
          </w:tcPr>
          <w:p w:rsidR="00000000" w:rsidDel="00000000" w:rsidP="00000000" w:rsidRDefault="00000000" w:rsidRPr="00000000" w14:paraId="000010DB">
            <w:pPr>
              <w:spacing w:after="0" w:line="240" w:lineRule="auto"/>
              <w:jc w:val="right"/>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10DC">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10DD">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10DE">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10DF">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10E0">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10E1">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 </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10E2">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Ensino Fundamental Incompleto</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E3">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1397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E4">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14,87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E5">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8000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E6">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85,13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E7">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38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E8">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0,40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E9">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164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EA">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1,71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EB">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EC">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0,09</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10ED">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Ensino Fundamental Completo</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EE">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99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EF">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15,87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F0">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525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F1">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84,13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F2">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F3">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0,16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F4">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F5">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2,34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F6">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F7">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0,16</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10F8">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Ensino Médio Completo</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F9">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824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FA">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14,89</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FB">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4710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FC">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85,11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FD">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35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FE">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0,62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0FF">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110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100">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1,94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101">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102">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0,05</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1103">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Ensino Médio Incompleto</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104">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255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105">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15,52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106">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1388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107">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84,48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108">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109">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0,42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10A">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26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10B">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1,55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10C">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3</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10D">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0,18</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110E">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Ensino Superior Incompleto</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10F">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151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110">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16,58</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111">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760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112">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83,42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113">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6</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114">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0,65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115">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5</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116">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0,54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117">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118">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0,22</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1119">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Ensino Superior Completo</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11A">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111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11B">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13,50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11C">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711</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11D">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86,50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11E">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2</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11F">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0,24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120">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7</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121">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0,84</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122">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1123">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0,00</w:t>
            </w:r>
          </w:p>
        </w:tc>
      </w:tr>
      <w:tr>
        <w:trPr>
          <w:cantSplit w:val="0"/>
          <w:trHeight w:val="283" w:hRule="atLeast"/>
          <w:tblHeader w:val="0"/>
        </w:trPr>
        <w:tc>
          <w:tcPr>
            <w:tcBorders>
              <w:top w:color="000000" w:space="0" w:sz="4" w:val="single"/>
              <w:left w:color="000000" w:space="0" w:sz="0" w:val="nil"/>
              <w:bottom w:color="000000" w:space="0" w:sz="8" w:val="single"/>
              <w:right w:color="000000" w:space="0" w:sz="0" w:val="nil"/>
            </w:tcBorders>
            <w:shd w:fill="ffffff" w:val="clear"/>
            <w:vAlign w:val="center"/>
          </w:tcPr>
          <w:p w:rsidR="00000000" w:rsidDel="00000000" w:rsidP="00000000" w:rsidRDefault="00000000" w:rsidRPr="00000000" w14:paraId="00001124">
            <w:pPr>
              <w:spacing w:after="0" w:line="240" w:lineRule="auto"/>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Zona</w:t>
            </w:r>
          </w:p>
        </w:tc>
        <w:tc>
          <w:tcPr>
            <w:tcBorders>
              <w:top w:color="000000" w:space="0" w:sz="4" w:val="single"/>
              <w:left w:color="000000" w:space="0" w:sz="0" w:val="nil"/>
              <w:bottom w:color="000000" w:space="0" w:sz="8" w:val="single"/>
              <w:right w:color="000000" w:space="0" w:sz="0" w:val="nil"/>
            </w:tcBorders>
            <w:shd w:fill="ffffff" w:val="clear"/>
            <w:vAlign w:val="center"/>
          </w:tcPr>
          <w:p w:rsidR="00000000" w:rsidDel="00000000" w:rsidP="00000000" w:rsidRDefault="00000000" w:rsidRPr="00000000" w14:paraId="00001125">
            <w:pPr>
              <w:spacing w:after="0" w:line="240" w:lineRule="auto"/>
              <w:jc w:val="right"/>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center"/>
          </w:tcPr>
          <w:p w:rsidR="00000000" w:rsidDel="00000000" w:rsidP="00000000" w:rsidRDefault="00000000" w:rsidRPr="00000000" w14:paraId="00001126">
            <w:pPr>
              <w:spacing w:after="0" w:line="240" w:lineRule="auto"/>
              <w:jc w:val="right"/>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center"/>
          </w:tcPr>
          <w:p w:rsidR="00000000" w:rsidDel="00000000" w:rsidP="00000000" w:rsidRDefault="00000000" w:rsidRPr="00000000" w14:paraId="00001127">
            <w:pPr>
              <w:spacing w:after="0" w:line="240" w:lineRule="auto"/>
              <w:jc w:val="right"/>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center"/>
          </w:tcPr>
          <w:p w:rsidR="00000000" w:rsidDel="00000000" w:rsidP="00000000" w:rsidRDefault="00000000" w:rsidRPr="00000000" w14:paraId="00001128">
            <w:pPr>
              <w:spacing w:after="0" w:line="240" w:lineRule="auto"/>
              <w:jc w:val="right"/>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center"/>
          </w:tcPr>
          <w:p w:rsidR="00000000" w:rsidDel="00000000" w:rsidP="00000000" w:rsidRDefault="00000000" w:rsidRPr="00000000" w14:paraId="00001129">
            <w:pPr>
              <w:spacing w:after="0" w:line="240" w:lineRule="auto"/>
              <w:jc w:val="right"/>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center"/>
          </w:tcPr>
          <w:p w:rsidR="00000000" w:rsidDel="00000000" w:rsidP="00000000" w:rsidRDefault="00000000" w:rsidRPr="00000000" w14:paraId="0000112A">
            <w:pPr>
              <w:spacing w:after="0" w:line="240" w:lineRule="auto"/>
              <w:jc w:val="right"/>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center"/>
          </w:tcPr>
          <w:p w:rsidR="00000000" w:rsidDel="00000000" w:rsidP="00000000" w:rsidRDefault="00000000" w:rsidRPr="00000000" w14:paraId="0000112B">
            <w:pPr>
              <w:spacing w:after="0" w:line="240" w:lineRule="auto"/>
              <w:jc w:val="right"/>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center"/>
          </w:tcPr>
          <w:p w:rsidR="00000000" w:rsidDel="00000000" w:rsidP="00000000" w:rsidRDefault="00000000" w:rsidRPr="00000000" w14:paraId="0000112C">
            <w:pPr>
              <w:spacing w:after="0" w:line="240" w:lineRule="auto"/>
              <w:jc w:val="right"/>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center"/>
          </w:tcPr>
          <w:p w:rsidR="00000000" w:rsidDel="00000000" w:rsidP="00000000" w:rsidRDefault="00000000" w:rsidRPr="00000000" w14:paraId="0000112D">
            <w:pPr>
              <w:spacing w:after="0" w:line="240" w:lineRule="auto"/>
              <w:jc w:val="right"/>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 </w:t>
            </w:r>
          </w:p>
        </w:tc>
        <w:tc>
          <w:tcPr>
            <w:tcBorders>
              <w:top w:color="000000" w:space="0" w:sz="4" w:val="single"/>
              <w:left w:color="000000" w:space="0" w:sz="0" w:val="nil"/>
              <w:bottom w:color="000000" w:space="0" w:sz="8" w:val="single"/>
              <w:right w:color="000000" w:space="0" w:sz="0" w:val="nil"/>
            </w:tcBorders>
            <w:shd w:fill="ffffff" w:val="clear"/>
            <w:vAlign w:val="center"/>
          </w:tcPr>
          <w:p w:rsidR="00000000" w:rsidDel="00000000" w:rsidP="00000000" w:rsidRDefault="00000000" w:rsidRPr="00000000" w14:paraId="0000112E">
            <w:pPr>
              <w:spacing w:after="0" w:line="240" w:lineRule="auto"/>
              <w:jc w:val="right"/>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 </w:t>
            </w:r>
          </w:p>
        </w:tc>
      </w:tr>
      <w:tr>
        <w:trPr>
          <w:cantSplit w:val="0"/>
          <w:trHeight w:val="300" w:hRule="atLeast"/>
          <w:tblHeader w:val="0"/>
        </w:trPr>
        <w:tc>
          <w:tcPr>
            <w:tcBorders>
              <w:top w:color="000000" w:space="0" w:sz="0" w:val="nil"/>
              <w:left w:color="000000" w:space="0" w:sz="0" w:val="nil"/>
              <w:right w:color="000000" w:space="0" w:sz="0" w:val="nil"/>
            </w:tcBorders>
            <w:shd w:fill="ffffff" w:val="clear"/>
            <w:vAlign w:val="center"/>
          </w:tcPr>
          <w:p w:rsidR="00000000" w:rsidDel="00000000" w:rsidP="00000000" w:rsidRDefault="00000000" w:rsidRPr="00000000" w14:paraId="0000112F">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Rural</w:t>
            </w:r>
          </w:p>
        </w:tc>
        <w:tc>
          <w:tcPr>
            <w:tcBorders>
              <w:top w:color="000000" w:space="0" w:sz="0" w:val="nil"/>
              <w:left w:color="000000" w:space="0" w:sz="0" w:val="nil"/>
              <w:right w:color="000000" w:space="0" w:sz="0" w:val="nil"/>
            </w:tcBorders>
            <w:shd w:fill="ffffff" w:val="clear"/>
            <w:vAlign w:val="bottom"/>
          </w:tcPr>
          <w:p w:rsidR="00000000" w:rsidDel="00000000" w:rsidP="00000000" w:rsidRDefault="00000000" w:rsidRPr="00000000" w14:paraId="00001130">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228</w:t>
            </w:r>
          </w:p>
        </w:tc>
        <w:tc>
          <w:tcPr>
            <w:tcBorders>
              <w:top w:color="000000" w:space="0" w:sz="0" w:val="nil"/>
              <w:left w:color="000000" w:space="0" w:sz="0" w:val="nil"/>
              <w:right w:color="000000" w:space="0" w:sz="0" w:val="nil"/>
            </w:tcBorders>
            <w:shd w:fill="ffffff" w:val="clear"/>
            <w:vAlign w:val="bottom"/>
          </w:tcPr>
          <w:p w:rsidR="00000000" w:rsidDel="00000000" w:rsidP="00000000" w:rsidRDefault="00000000" w:rsidRPr="00000000" w14:paraId="00001131">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10,38</w:t>
            </w:r>
          </w:p>
        </w:tc>
        <w:tc>
          <w:tcPr>
            <w:tcBorders>
              <w:top w:color="000000" w:space="0" w:sz="0" w:val="nil"/>
              <w:left w:color="000000" w:space="0" w:sz="0" w:val="nil"/>
              <w:right w:color="000000" w:space="0" w:sz="0" w:val="nil"/>
            </w:tcBorders>
            <w:shd w:fill="ffffff" w:val="clear"/>
            <w:vAlign w:val="bottom"/>
          </w:tcPr>
          <w:p w:rsidR="00000000" w:rsidDel="00000000" w:rsidP="00000000" w:rsidRDefault="00000000" w:rsidRPr="00000000" w14:paraId="00001132">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1969</w:t>
            </w:r>
          </w:p>
        </w:tc>
        <w:tc>
          <w:tcPr>
            <w:tcBorders>
              <w:top w:color="000000" w:space="0" w:sz="0" w:val="nil"/>
              <w:left w:color="000000" w:space="0" w:sz="0" w:val="nil"/>
              <w:right w:color="000000" w:space="0" w:sz="0" w:val="nil"/>
            </w:tcBorders>
            <w:shd w:fill="ffffff" w:val="clear"/>
            <w:vAlign w:val="bottom"/>
          </w:tcPr>
          <w:p w:rsidR="00000000" w:rsidDel="00000000" w:rsidP="00000000" w:rsidRDefault="00000000" w:rsidRPr="00000000" w14:paraId="00001133">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89,62</w:t>
            </w:r>
          </w:p>
        </w:tc>
        <w:tc>
          <w:tcPr>
            <w:tcBorders>
              <w:top w:color="000000" w:space="0" w:sz="0" w:val="nil"/>
              <w:left w:color="000000" w:space="0" w:sz="0" w:val="nil"/>
              <w:right w:color="000000" w:space="0" w:sz="0" w:val="nil"/>
            </w:tcBorders>
            <w:shd w:fill="ffffff" w:val="clear"/>
            <w:vAlign w:val="bottom"/>
          </w:tcPr>
          <w:p w:rsidR="00000000" w:rsidDel="00000000" w:rsidP="00000000" w:rsidRDefault="00000000" w:rsidRPr="00000000" w14:paraId="00001134">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35</w:t>
            </w:r>
          </w:p>
        </w:tc>
        <w:tc>
          <w:tcPr>
            <w:tcBorders>
              <w:top w:color="000000" w:space="0" w:sz="0" w:val="nil"/>
              <w:left w:color="000000" w:space="0" w:sz="0" w:val="nil"/>
              <w:right w:color="000000" w:space="0" w:sz="0" w:val="nil"/>
            </w:tcBorders>
            <w:shd w:fill="ffffff" w:val="clear"/>
            <w:vAlign w:val="bottom"/>
          </w:tcPr>
          <w:p w:rsidR="00000000" w:rsidDel="00000000" w:rsidP="00000000" w:rsidRDefault="00000000" w:rsidRPr="00000000" w14:paraId="00001135">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1,54</w:t>
            </w:r>
          </w:p>
        </w:tc>
        <w:tc>
          <w:tcPr>
            <w:tcBorders>
              <w:top w:color="000000" w:space="0" w:sz="0" w:val="nil"/>
              <w:left w:color="000000" w:space="0" w:sz="0" w:val="nil"/>
              <w:right w:color="000000" w:space="0" w:sz="0" w:val="nil"/>
            </w:tcBorders>
            <w:shd w:fill="ffffff" w:val="clear"/>
            <w:vAlign w:val="bottom"/>
          </w:tcPr>
          <w:p w:rsidR="00000000" w:rsidDel="00000000" w:rsidP="00000000" w:rsidRDefault="00000000" w:rsidRPr="00000000" w14:paraId="00001136">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47</w:t>
            </w:r>
          </w:p>
        </w:tc>
        <w:tc>
          <w:tcPr>
            <w:tcBorders>
              <w:top w:color="000000" w:space="0" w:sz="0" w:val="nil"/>
              <w:left w:color="000000" w:space="0" w:sz="0" w:val="nil"/>
              <w:right w:color="000000" w:space="0" w:sz="0" w:val="nil"/>
            </w:tcBorders>
            <w:shd w:fill="ffffff" w:val="clear"/>
            <w:vAlign w:val="bottom"/>
          </w:tcPr>
          <w:p w:rsidR="00000000" w:rsidDel="00000000" w:rsidP="00000000" w:rsidRDefault="00000000" w:rsidRPr="00000000" w14:paraId="00001137">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2,06</w:t>
            </w:r>
          </w:p>
        </w:tc>
        <w:tc>
          <w:tcPr>
            <w:tcBorders>
              <w:top w:color="000000" w:space="0" w:sz="0" w:val="nil"/>
              <w:left w:color="000000" w:space="0" w:sz="0" w:val="nil"/>
              <w:right w:color="000000" w:space="0" w:sz="0" w:val="nil"/>
            </w:tcBorders>
            <w:shd w:fill="ffffff" w:val="clear"/>
            <w:vAlign w:val="bottom"/>
          </w:tcPr>
          <w:p w:rsidR="00000000" w:rsidDel="00000000" w:rsidP="00000000" w:rsidRDefault="00000000" w:rsidRPr="00000000" w14:paraId="00001138">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w:t>
            </w:r>
          </w:p>
        </w:tc>
        <w:tc>
          <w:tcPr>
            <w:tcBorders>
              <w:top w:color="000000" w:space="0" w:sz="0" w:val="nil"/>
              <w:left w:color="000000" w:space="0" w:sz="0" w:val="nil"/>
              <w:right w:color="000000" w:space="0" w:sz="0" w:val="nil"/>
            </w:tcBorders>
            <w:shd w:fill="ffffff" w:val="clear"/>
            <w:vAlign w:val="bottom"/>
          </w:tcPr>
          <w:p w:rsidR="00000000" w:rsidDel="00000000" w:rsidP="00000000" w:rsidRDefault="00000000" w:rsidRPr="00000000" w14:paraId="00001139">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0,04</w:t>
            </w:r>
          </w:p>
        </w:tc>
      </w:tr>
      <w:tr>
        <w:trPr>
          <w:cantSplit w:val="0"/>
          <w:trHeight w:val="300" w:hRule="atLeast"/>
          <w:tblHeader w:val="0"/>
        </w:trPr>
        <w:tc>
          <w:tcPr>
            <w:tcBorders>
              <w:top w:color="000000" w:space="0" w:sz="0" w:val="nil"/>
              <w:left w:color="000000" w:space="0" w:sz="0" w:val="nil"/>
              <w:bottom w:color="000000" w:space="0" w:sz="4" w:val="single"/>
              <w:right w:color="000000" w:space="0" w:sz="0" w:val="nil"/>
            </w:tcBorders>
            <w:shd w:fill="ffffff" w:val="clear"/>
            <w:vAlign w:val="center"/>
          </w:tcPr>
          <w:p w:rsidR="00000000" w:rsidDel="00000000" w:rsidP="00000000" w:rsidRDefault="00000000" w:rsidRPr="00000000" w14:paraId="0000113A">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Urbana</w:t>
            </w:r>
          </w:p>
        </w:tc>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113B">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3514</w:t>
            </w:r>
          </w:p>
        </w:tc>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113C">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15,67</w:t>
            </w:r>
          </w:p>
        </w:tc>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113D">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18913</w:t>
            </w:r>
          </w:p>
        </w:tc>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113E">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84,33</w:t>
            </w:r>
          </w:p>
        </w:tc>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113F">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85</w:t>
            </w:r>
          </w:p>
        </w:tc>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1140">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0,37</w:t>
            </w:r>
          </w:p>
        </w:tc>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1141">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402</w:t>
            </w:r>
          </w:p>
        </w:tc>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1142">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1,75</w:t>
            </w:r>
          </w:p>
        </w:tc>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1143">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21</w:t>
            </w:r>
          </w:p>
        </w:tc>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1144">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0,09</w:t>
            </w:r>
          </w:p>
        </w:tc>
      </w:tr>
    </w:tbl>
    <w:p w:rsidR="00000000" w:rsidDel="00000000" w:rsidP="00000000" w:rsidRDefault="00000000" w:rsidRPr="00000000" w14:paraId="00001145">
      <w:pPr>
        <w:rPr/>
      </w:pPr>
      <w:r w:rsidDel="00000000" w:rsidR="00000000" w:rsidRPr="00000000">
        <w:rPr>
          <w:rtl w:val="0"/>
        </w:rPr>
      </w:r>
    </w:p>
    <w:sectPr>
      <w:type w:val="nextPage"/>
      <w:pgSz w:h="16838" w:w="11906" w:orient="portrait"/>
      <w:pgMar w:bottom="1417" w:top="1417" w:left="1701" w:right="1701" w:header="397" w:footer="68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 w:name="Courier New"/>
  <w:font w:name="Noto Sans Symbols">
    <w:embedRegular w:fontKey="{00000000-0000-0000-0000-000000000000}" r:id="rId1" w:subsetted="0"/>
    <w:embedBold w:fontKey="{00000000-0000-0000-0000-000000000000}" r:id="rId2" w:subsetted="0"/>
  </w:font>
  <w:font w:name="Cambria Math">
    <w:embedRegular w:fontKey="{00000000-0000-0000-0000-000000000000}" r:id="rId3"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14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14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14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14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14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14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14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14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pt-B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0" w:before="240" w:line="360" w:lineRule="auto"/>
      <w:jc w:val="both"/>
    </w:pPr>
    <w:rPr>
      <w:rFonts w:ascii="Times New Roman" w:cs="Times New Roman" w:eastAsia="Times New Roman" w:hAnsi="Times New Roman"/>
      <w:b w:val="1"/>
      <w:smallCaps w:val="1"/>
      <w:sz w:val="24"/>
      <w:szCs w:val="24"/>
    </w:rPr>
  </w:style>
  <w:style w:type="paragraph" w:styleId="Heading2">
    <w:name w:val="heading 2"/>
    <w:basedOn w:val="Normal"/>
    <w:next w:val="Normal"/>
    <w:pPr>
      <w:keepNext w:val="1"/>
      <w:keepLines w:val="1"/>
      <w:spacing w:after="0" w:before="240" w:line="360" w:lineRule="auto"/>
      <w:ind w:left="567"/>
    </w:pPr>
    <w:rPr>
      <w:rFonts w:ascii="Times New Roman" w:cs="Times New Roman" w:eastAsia="Times New Roman" w:hAnsi="Times New Roman"/>
      <w:b w:val="1"/>
      <w:sz w:val="24"/>
      <w:szCs w:val="24"/>
    </w:rPr>
  </w:style>
  <w:style w:type="paragraph" w:styleId="Heading3">
    <w:name w:val="heading 3"/>
    <w:basedOn w:val="Normal"/>
    <w:next w:val="Normal"/>
    <w:pPr>
      <w:keepNext w:val="1"/>
      <w:keepLines w:val="1"/>
      <w:spacing w:after="0" w:before="240" w:line="240" w:lineRule="auto"/>
      <w:ind w:left="1134"/>
    </w:pPr>
    <w:rPr>
      <w:rFonts w:ascii="Times New Roman" w:cs="Times New Roman" w:eastAsia="Times New Roman" w:hAnsi="Times New Roman"/>
      <w:b w:val="1"/>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0E1434"/>
  </w:style>
  <w:style w:type="paragraph" w:styleId="Ttulo1">
    <w:name w:val="heading 1"/>
    <w:basedOn w:val="Normal"/>
    <w:next w:val="Normal"/>
    <w:link w:val="Ttulo1Char"/>
    <w:qFormat w:val="1"/>
    <w:rsid w:val="00BC7208"/>
    <w:pPr>
      <w:keepNext w:val="1"/>
      <w:spacing w:after="0" w:before="240" w:line="360" w:lineRule="auto"/>
      <w:jc w:val="both"/>
      <w:outlineLvl w:val="0"/>
    </w:pPr>
    <w:rPr>
      <w:rFonts w:ascii="Times New Roman" w:cs="Calibri" w:eastAsia="Times New Roman" w:hAnsi="Times New Roman"/>
      <w:b w:val="1"/>
      <w:bCs w:val="1"/>
      <w:caps w:val="1"/>
      <w:kern w:val="32"/>
      <w:sz w:val="24"/>
      <w:szCs w:val="36"/>
      <w:lang w:eastAsia="nl-NL" w:val="en-GB"/>
    </w:rPr>
  </w:style>
  <w:style w:type="paragraph" w:styleId="Ttulo2">
    <w:name w:val="heading 2"/>
    <w:basedOn w:val="Normal"/>
    <w:next w:val="Normal"/>
    <w:link w:val="Ttulo2Char"/>
    <w:uiPriority w:val="9"/>
    <w:unhideWhenUsed w:val="1"/>
    <w:qFormat w:val="1"/>
    <w:rsid w:val="002E1F20"/>
    <w:pPr>
      <w:keepNext w:val="1"/>
      <w:keepLines w:val="1"/>
      <w:spacing w:after="0" w:before="240" w:line="360" w:lineRule="auto"/>
      <w:ind w:left="567"/>
      <w:outlineLvl w:val="1"/>
    </w:pPr>
    <w:rPr>
      <w:rFonts w:ascii="Times New Roman" w:hAnsi="Times New Roman" w:cstheme="majorBidi" w:eastAsiaTheme="majorEastAsia"/>
      <w:b w:val="1"/>
      <w:sz w:val="24"/>
      <w:szCs w:val="26"/>
    </w:rPr>
  </w:style>
  <w:style w:type="paragraph" w:styleId="Ttulo3">
    <w:name w:val="heading 3"/>
    <w:basedOn w:val="Normal"/>
    <w:next w:val="Normal"/>
    <w:link w:val="Ttulo3Char"/>
    <w:uiPriority w:val="9"/>
    <w:unhideWhenUsed w:val="1"/>
    <w:qFormat w:val="1"/>
    <w:rsid w:val="007D34B1"/>
    <w:pPr>
      <w:keepNext w:val="1"/>
      <w:keepLines w:val="1"/>
      <w:spacing w:after="0" w:before="240" w:line="240" w:lineRule="auto"/>
      <w:ind w:left="1134"/>
      <w:outlineLvl w:val="2"/>
    </w:pPr>
    <w:rPr>
      <w:rFonts w:ascii="Times New Roman" w:hAnsi="Times New Roman" w:cstheme="majorBidi" w:eastAsiaTheme="majorEastAsia"/>
      <w:b w:val="1"/>
      <w:sz w:val="24"/>
      <w:szCs w:val="24"/>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paragraph" w:styleId="EndNoteBibliographyTitle" w:customStyle="1">
    <w:name w:val="EndNote Bibliography Title"/>
    <w:basedOn w:val="Normal"/>
    <w:link w:val="EndNoteBibliographyTitleChar"/>
    <w:rsid w:val="00ED34EE"/>
    <w:pPr>
      <w:spacing w:after="0"/>
      <w:jc w:val="center"/>
    </w:pPr>
    <w:rPr>
      <w:rFonts w:ascii="Calibri" w:hAnsi="Calibri"/>
      <w:noProof w:val="1"/>
      <w:lang w:val="en-US"/>
    </w:rPr>
  </w:style>
  <w:style w:type="character" w:styleId="EndNoteBibliographyTitleChar" w:customStyle="1">
    <w:name w:val="EndNote Bibliography Title Char"/>
    <w:basedOn w:val="Fontepargpadro"/>
    <w:link w:val="EndNoteBibliographyTitle"/>
    <w:rsid w:val="00ED34EE"/>
    <w:rPr>
      <w:rFonts w:ascii="Calibri" w:hAnsi="Calibri"/>
      <w:noProof w:val="1"/>
      <w:lang w:val="en-US"/>
    </w:rPr>
  </w:style>
  <w:style w:type="paragraph" w:styleId="EndNoteBibliography" w:customStyle="1">
    <w:name w:val="EndNote Bibliography"/>
    <w:basedOn w:val="Normal"/>
    <w:link w:val="EndNoteBibliographyChar"/>
    <w:rsid w:val="00ED34EE"/>
    <w:pPr>
      <w:spacing w:line="240" w:lineRule="auto"/>
    </w:pPr>
    <w:rPr>
      <w:rFonts w:ascii="Calibri" w:hAnsi="Calibri"/>
      <w:noProof w:val="1"/>
      <w:lang w:val="en-US"/>
    </w:rPr>
  </w:style>
  <w:style w:type="character" w:styleId="EndNoteBibliographyChar" w:customStyle="1">
    <w:name w:val="EndNote Bibliography Char"/>
    <w:basedOn w:val="Fontepargpadro"/>
    <w:link w:val="EndNoteBibliography"/>
    <w:rsid w:val="00ED34EE"/>
    <w:rPr>
      <w:rFonts w:ascii="Calibri" w:hAnsi="Calibri"/>
      <w:noProof w:val="1"/>
      <w:lang w:val="en-US"/>
    </w:rPr>
  </w:style>
  <w:style w:type="character" w:styleId="ref" w:customStyle="1">
    <w:name w:val="ref"/>
    <w:basedOn w:val="Fontepargpadro"/>
    <w:rsid w:val="008C7F53"/>
  </w:style>
  <w:style w:type="character" w:styleId="Hyperlink">
    <w:name w:val="Hyperlink"/>
    <w:basedOn w:val="Fontepargpadro"/>
    <w:uiPriority w:val="99"/>
    <w:unhideWhenUsed w:val="1"/>
    <w:rsid w:val="004E5CA2"/>
    <w:rPr>
      <w:color w:val="0563c1" w:themeColor="hyperlink"/>
      <w:u w:val="single"/>
    </w:rPr>
  </w:style>
  <w:style w:type="character" w:styleId="MenoPendente">
    <w:name w:val="Unresolved Mention"/>
    <w:basedOn w:val="Fontepargpadro"/>
    <w:uiPriority w:val="99"/>
    <w:semiHidden w:val="1"/>
    <w:unhideWhenUsed w:val="1"/>
    <w:rsid w:val="004E5CA2"/>
    <w:rPr>
      <w:color w:val="605e5c"/>
      <w:shd w:color="auto" w:fill="e1dfdd" w:val="clear"/>
    </w:rPr>
  </w:style>
  <w:style w:type="paragraph" w:styleId="Default" w:customStyle="1">
    <w:name w:val="Default"/>
    <w:rsid w:val="000A2479"/>
    <w:pPr>
      <w:autoSpaceDE w:val="0"/>
      <w:autoSpaceDN w:val="0"/>
      <w:adjustRightInd w:val="0"/>
      <w:spacing w:after="0" w:line="240" w:lineRule="auto"/>
    </w:pPr>
    <w:rPr>
      <w:rFonts w:ascii="Times New Roman" w:cs="Times New Roman" w:hAnsi="Times New Roman"/>
      <w:color w:val="000000"/>
      <w:sz w:val="24"/>
      <w:szCs w:val="24"/>
    </w:rPr>
  </w:style>
  <w:style w:type="character" w:styleId="indicador-unidade" w:customStyle="1">
    <w:name w:val="indicador-unidade"/>
    <w:basedOn w:val="Fontepargpadro"/>
    <w:rsid w:val="000A2479"/>
  </w:style>
  <w:style w:type="paragraph" w:styleId="Legenda">
    <w:name w:val="caption"/>
    <w:basedOn w:val="Normal"/>
    <w:next w:val="Normal"/>
    <w:uiPriority w:val="35"/>
    <w:unhideWhenUsed w:val="1"/>
    <w:qFormat w:val="1"/>
    <w:rsid w:val="006C09FC"/>
    <w:pPr>
      <w:tabs>
        <w:tab w:val="left" w:pos="1134"/>
      </w:tabs>
      <w:spacing w:after="60" w:before="120" w:line="240" w:lineRule="auto"/>
      <w:ind w:left="1134" w:hanging="1134"/>
      <w:jc w:val="both"/>
    </w:pPr>
    <w:rPr>
      <w:rFonts w:ascii="Times New Roman" w:hAnsi="Times New Roman"/>
      <w:iCs w:val="1"/>
      <w:sz w:val="20"/>
      <w:szCs w:val="18"/>
    </w:rPr>
  </w:style>
  <w:style w:type="paragraph" w:styleId="PargrafodaLista">
    <w:name w:val="List Paragraph"/>
    <w:basedOn w:val="Normal"/>
    <w:uiPriority w:val="34"/>
    <w:qFormat w:val="1"/>
    <w:rsid w:val="008F30EC"/>
    <w:pPr>
      <w:ind w:left="720"/>
      <w:contextualSpacing w:val="1"/>
    </w:pPr>
  </w:style>
  <w:style w:type="paragraph" w:styleId="Cabealho">
    <w:name w:val="header"/>
    <w:basedOn w:val="Normal"/>
    <w:link w:val="CabealhoChar"/>
    <w:uiPriority w:val="99"/>
    <w:unhideWhenUsed w:val="1"/>
    <w:rsid w:val="00136399"/>
    <w:pPr>
      <w:tabs>
        <w:tab w:val="center" w:pos="4252"/>
        <w:tab w:val="right" w:pos="8504"/>
      </w:tabs>
      <w:spacing w:after="0" w:line="240" w:lineRule="auto"/>
    </w:pPr>
  </w:style>
  <w:style w:type="character" w:styleId="CabealhoChar" w:customStyle="1">
    <w:name w:val="Cabeçalho Char"/>
    <w:basedOn w:val="Fontepargpadro"/>
    <w:link w:val="Cabealho"/>
    <w:uiPriority w:val="99"/>
    <w:rsid w:val="00136399"/>
  </w:style>
  <w:style w:type="paragraph" w:styleId="Rodap">
    <w:name w:val="footer"/>
    <w:basedOn w:val="Normal"/>
    <w:link w:val="RodapChar"/>
    <w:uiPriority w:val="99"/>
    <w:unhideWhenUsed w:val="1"/>
    <w:rsid w:val="00136399"/>
    <w:pPr>
      <w:tabs>
        <w:tab w:val="center" w:pos="4252"/>
        <w:tab w:val="right" w:pos="8504"/>
      </w:tabs>
      <w:spacing w:after="0" w:line="240" w:lineRule="auto"/>
    </w:pPr>
  </w:style>
  <w:style w:type="character" w:styleId="RodapChar" w:customStyle="1">
    <w:name w:val="Rodapé Char"/>
    <w:basedOn w:val="Fontepargpadro"/>
    <w:link w:val="Rodap"/>
    <w:uiPriority w:val="99"/>
    <w:rsid w:val="00136399"/>
  </w:style>
  <w:style w:type="paragraph" w:styleId="Ttulo11" w:customStyle="1">
    <w:name w:val="Título 11"/>
    <w:basedOn w:val="Normal"/>
    <w:uiPriority w:val="1"/>
    <w:qFormat w:val="1"/>
    <w:rsid w:val="00136399"/>
    <w:pPr>
      <w:widowControl w:val="0"/>
      <w:autoSpaceDE w:val="0"/>
      <w:autoSpaceDN w:val="0"/>
      <w:spacing w:after="200" w:line="276" w:lineRule="auto"/>
      <w:ind w:left="1436"/>
      <w:outlineLvl w:val="1"/>
    </w:pPr>
    <w:rPr>
      <w:rFonts w:ascii="Arial" w:cs="Arial" w:eastAsia="Arial" w:hAnsi="Arial"/>
      <w:b w:val="1"/>
      <w:bCs w:val="1"/>
      <w:sz w:val="28"/>
      <w:szCs w:val="28"/>
      <w:lang w:bidi="en-US" w:val="en-US"/>
    </w:rPr>
  </w:style>
  <w:style w:type="character" w:styleId="Ttulo1Char" w:customStyle="1">
    <w:name w:val="Título 1 Char"/>
    <w:basedOn w:val="Fontepargpadro"/>
    <w:link w:val="Ttulo1"/>
    <w:rsid w:val="00BC7208"/>
    <w:rPr>
      <w:rFonts w:ascii="Times New Roman" w:cs="Calibri" w:eastAsia="Times New Roman" w:hAnsi="Times New Roman"/>
      <w:b w:val="1"/>
      <w:bCs w:val="1"/>
      <w:caps w:val="1"/>
      <w:kern w:val="32"/>
      <w:sz w:val="24"/>
      <w:szCs w:val="36"/>
      <w:lang w:eastAsia="nl-NL" w:val="en-GB"/>
    </w:rPr>
  </w:style>
  <w:style w:type="paragraph" w:styleId="Textodecomentrio">
    <w:name w:val="annotation text"/>
    <w:basedOn w:val="Normal"/>
    <w:link w:val="TextodecomentrioChar"/>
    <w:uiPriority w:val="99"/>
    <w:unhideWhenUsed w:val="1"/>
    <w:rsid w:val="00136399"/>
    <w:pPr>
      <w:spacing w:after="200" w:line="276" w:lineRule="auto"/>
    </w:pPr>
    <w:rPr>
      <w:rFonts w:ascii="Calibri" w:cs="Times New Roman" w:eastAsia="Calibri" w:hAnsi="Calibri"/>
      <w:sz w:val="20"/>
      <w:szCs w:val="20"/>
      <w:lang w:val="x-none"/>
    </w:rPr>
  </w:style>
  <w:style w:type="character" w:styleId="TextodecomentrioChar" w:customStyle="1">
    <w:name w:val="Texto de comentário Char"/>
    <w:basedOn w:val="Fontepargpadro"/>
    <w:link w:val="Textodecomentrio"/>
    <w:uiPriority w:val="99"/>
    <w:rsid w:val="00136399"/>
    <w:rPr>
      <w:rFonts w:ascii="Calibri" w:cs="Times New Roman" w:eastAsia="Calibri" w:hAnsi="Calibri"/>
      <w:sz w:val="20"/>
      <w:szCs w:val="20"/>
      <w:lang w:val="x-none"/>
    </w:rPr>
  </w:style>
  <w:style w:type="paragraph" w:styleId="SemEspaamento">
    <w:name w:val="No Spacing"/>
    <w:uiPriority w:val="1"/>
    <w:qFormat w:val="1"/>
    <w:rsid w:val="00136399"/>
    <w:pPr>
      <w:spacing w:after="0" w:line="240" w:lineRule="auto"/>
    </w:pPr>
    <w:rPr>
      <w:rFonts w:ascii="Calibri" w:cs="Times New Roman" w:eastAsia="Calibri" w:hAnsi="Calibri"/>
    </w:rPr>
  </w:style>
  <w:style w:type="paragraph" w:styleId="NormalWeb">
    <w:name w:val="Normal (Web)"/>
    <w:basedOn w:val="Normal"/>
    <w:uiPriority w:val="99"/>
    <w:unhideWhenUsed w:val="1"/>
    <w:rsid w:val="00850005"/>
    <w:pPr>
      <w:spacing w:after="100" w:afterAutospacing="1" w:before="100" w:beforeAutospacing="1" w:line="240" w:lineRule="auto"/>
    </w:pPr>
    <w:rPr>
      <w:rFonts w:ascii="Times New Roman" w:cs="Times New Roman" w:eastAsia="Times New Roman" w:hAnsi="Times New Roman"/>
      <w:sz w:val="24"/>
      <w:szCs w:val="24"/>
      <w:lang w:eastAsia="pt-BR"/>
    </w:rPr>
  </w:style>
  <w:style w:type="paragraph" w:styleId="Pr-formataoHTML">
    <w:name w:val="HTML Preformatted"/>
    <w:basedOn w:val="Normal"/>
    <w:link w:val="Pr-formataoHTMLChar"/>
    <w:uiPriority w:val="99"/>
    <w:semiHidden w:val="1"/>
    <w:unhideWhenUsed w:val="1"/>
    <w:rsid w:val="00AC5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cs="Courier New" w:eastAsia="Times New Roman" w:hAnsi="Courier New"/>
      <w:sz w:val="20"/>
      <w:szCs w:val="20"/>
      <w:lang w:eastAsia="pt-BR"/>
    </w:rPr>
  </w:style>
  <w:style w:type="character" w:styleId="Pr-formataoHTMLChar" w:customStyle="1">
    <w:name w:val="Pré-formatação HTML Char"/>
    <w:basedOn w:val="Fontepargpadro"/>
    <w:link w:val="Pr-formataoHTML"/>
    <w:uiPriority w:val="99"/>
    <w:semiHidden w:val="1"/>
    <w:rsid w:val="00AC58C3"/>
    <w:rPr>
      <w:rFonts w:ascii="Courier New" w:cs="Courier New" w:eastAsia="Times New Roman" w:hAnsi="Courier New"/>
      <w:sz w:val="20"/>
      <w:szCs w:val="20"/>
      <w:lang w:eastAsia="pt-BR"/>
    </w:rPr>
  </w:style>
  <w:style w:type="character" w:styleId="y2iqfc" w:customStyle="1">
    <w:name w:val="y2iqfc"/>
    <w:basedOn w:val="Fontepargpadro"/>
    <w:rsid w:val="00AC58C3"/>
  </w:style>
  <w:style w:type="character" w:styleId="CdigoHTML">
    <w:name w:val="HTML Code"/>
    <w:basedOn w:val="Fontepargpadro"/>
    <w:uiPriority w:val="99"/>
    <w:semiHidden w:val="1"/>
    <w:unhideWhenUsed w:val="1"/>
    <w:rsid w:val="00B501C2"/>
    <w:rPr>
      <w:rFonts w:ascii="Courier New" w:cs="Courier New" w:eastAsia="Times New Roman" w:hAnsi="Courier New"/>
      <w:sz w:val="20"/>
      <w:szCs w:val="20"/>
    </w:rPr>
  </w:style>
  <w:style w:type="paragraph" w:styleId="Textodebalo">
    <w:name w:val="Balloon Text"/>
    <w:basedOn w:val="Normal"/>
    <w:link w:val="TextodebaloChar"/>
    <w:uiPriority w:val="99"/>
    <w:semiHidden w:val="1"/>
    <w:unhideWhenUsed w:val="1"/>
    <w:rsid w:val="001E6AA2"/>
    <w:pPr>
      <w:spacing w:after="0" w:line="240" w:lineRule="auto"/>
    </w:pPr>
    <w:rPr>
      <w:rFonts w:ascii="Segoe UI" w:cs="Segoe UI" w:hAnsi="Segoe UI"/>
      <w:sz w:val="18"/>
      <w:szCs w:val="18"/>
    </w:rPr>
  </w:style>
  <w:style w:type="character" w:styleId="TextodebaloChar" w:customStyle="1">
    <w:name w:val="Texto de balão Char"/>
    <w:basedOn w:val="Fontepargpadro"/>
    <w:link w:val="Textodebalo"/>
    <w:uiPriority w:val="99"/>
    <w:semiHidden w:val="1"/>
    <w:rsid w:val="001E6AA2"/>
    <w:rPr>
      <w:rFonts w:ascii="Segoe UI" w:cs="Segoe UI" w:hAnsi="Segoe UI"/>
      <w:sz w:val="18"/>
      <w:szCs w:val="18"/>
    </w:rPr>
  </w:style>
  <w:style w:type="character" w:styleId="HiperlinkVisitado">
    <w:name w:val="FollowedHyperlink"/>
    <w:basedOn w:val="Fontepargpadro"/>
    <w:uiPriority w:val="99"/>
    <w:semiHidden w:val="1"/>
    <w:unhideWhenUsed w:val="1"/>
    <w:rsid w:val="00816187"/>
    <w:rPr>
      <w:color w:val="954f72"/>
      <w:u w:val="single"/>
    </w:rPr>
  </w:style>
  <w:style w:type="paragraph" w:styleId="msonormal0" w:customStyle="1">
    <w:name w:val="msonormal"/>
    <w:basedOn w:val="Normal"/>
    <w:rsid w:val="00816187"/>
    <w:pPr>
      <w:spacing w:after="100" w:afterAutospacing="1" w:before="100" w:beforeAutospacing="1" w:line="240" w:lineRule="auto"/>
    </w:pPr>
    <w:rPr>
      <w:rFonts w:ascii="Times New Roman" w:cs="Times New Roman" w:eastAsia="Times New Roman" w:hAnsi="Times New Roman"/>
      <w:sz w:val="24"/>
      <w:szCs w:val="24"/>
      <w:lang w:eastAsia="pt-BR"/>
    </w:rPr>
  </w:style>
  <w:style w:type="paragraph" w:styleId="xl63" w:customStyle="1">
    <w:name w:val="xl63"/>
    <w:basedOn w:val="Normal"/>
    <w:rsid w:val="00816187"/>
    <w:pPr>
      <w:shd w:color="000000" w:fill="ffffff" w:val="clear"/>
      <w:spacing w:after="100" w:afterAutospacing="1" w:before="100" w:beforeAutospacing="1" w:line="240" w:lineRule="auto"/>
      <w:textAlignment w:val="center"/>
    </w:pPr>
    <w:rPr>
      <w:rFonts w:ascii="Times New Roman" w:cs="Times New Roman" w:eastAsia="Times New Roman" w:hAnsi="Times New Roman"/>
      <w:b w:val="1"/>
      <w:bCs w:val="1"/>
      <w:sz w:val="20"/>
      <w:szCs w:val="20"/>
      <w:lang w:eastAsia="pt-BR"/>
    </w:rPr>
  </w:style>
  <w:style w:type="paragraph" w:styleId="xl64" w:customStyle="1">
    <w:name w:val="xl64"/>
    <w:basedOn w:val="Normal"/>
    <w:rsid w:val="00816187"/>
    <w:pPr>
      <w:shd w:color="000000" w:fill="ffffff" w:val="clear"/>
      <w:spacing w:after="100" w:afterAutospacing="1" w:before="100" w:beforeAutospacing="1" w:line="240" w:lineRule="auto"/>
      <w:textAlignment w:val="center"/>
    </w:pPr>
    <w:rPr>
      <w:rFonts w:ascii="Times New Roman" w:cs="Times New Roman" w:eastAsia="Times New Roman" w:hAnsi="Times New Roman"/>
      <w:b w:val="1"/>
      <w:bCs w:val="1"/>
      <w:sz w:val="20"/>
      <w:szCs w:val="20"/>
      <w:lang w:eastAsia="pt-BR"/>
    </w:rPr>
  </w:style>
  <w:style w:type="paragraph" w:styleId="xl65" w:customStyle="1">
    <w:name w:val="xl65"/>
    <w:basedOn w:val="Normal"/>
    <w:rsid w:val="00816187"/>
    <w:pPr>
      <w:shd w:color="000000" w:fill="ffffff" w:val="clear"/>
      <w:spacing w:after="100" w:afterAutospacing="1" w:before="100" w:beforeAutospacing="1" w:line="240" w:lineRule="auto"/>
      <w:jc w:val="center"/>
    </w:pPr>
    <w:rPr>
      <w:rFonts w:ascii="Times New Roman" w:cs="Times New Roman" w:eastAsia="Times New Roman" w:hAnsi="Times New Roman"/>
      <w:sz w:val="20"/>
      <w:szCs w:val="20"/>
      <w:lang w:eastAsia="pt-BR"/>
    </w:rPr>
  </w:style>
  <w:style w:type="paragraph" w:styleId="xl66" w:customStyle="1">
    <w:name w:val="xl66"/>
    <w:basedOn w:val="Normal"/>
    <w:rsid w:val="00816187"/>
    <w:pPr>
      <w:shd w:color="000000" w:fill="ffffff" w:val="clear"/>
      <w:spacing w:after="100" w:afterAutospacing="1" w:before="100" w:beforeAutospacing="1" w:line="240" w:lineRule="auto"/>
      <w:jc w:val="center"/>
    </w:pPr>
    <w:rPr>
      <w:rFonts w:ascii="Times New Roman" w:cs="Times New Roman" w:eastAsia="Times New Roman" w:hAnsi="Times New Roman"/>
      <w:sz w:val="20"/>
      <w:szCs w:val="20"/>
      <w:lang w:eastAsia="pt-BR"/>
    </w:rPr>
  </w:style>
  <w:style w:type="paragraph" w:styleId="xl67" w:customStyle="1">
    <w:name w:val="xl67"/>
    <w:basedOn w:val="Normal"/>
    <w:rsid w:val="00816187"/>
    <w:pPr>
      <w:pBdr>
        <w:top w:color="auto" w:space="0" w:sz="4" w:val="single"/>
        <w:bottom w:color="auto" w:space="0" w:sz="8" w:val="single"/>
      </w:pBdr>
      <w:shd w:color="000000" w:fill="ffffff" w:val="clear"/>
      <w:spacing w:after="100" w:afterAutospacing="1" w:before="100" w:beforeAutospacing="1" w:line="240" w:lineRule="auto"/>
    </w:pPr>
    <w:rPr>
      <w:rFonts w:ascii="Times New Roman" w:cs="Times New Roman" w:eastAsia="Times New Roman" w:hAnsi="Times New Roman"/>
      <w:b w:val="1"/>
      <w:bCs w:val="1"/>
      <w:sz w:val="20"/>
      <w:szCs w:val="20"/>
      <w:lang w:eastAsia="pt-BR"/>
    </w:rPr>
  </w:style>
  <w:style w:type="paragraph" w:styleId="xl68" w:customStyle="1">
    <w:name w:val="xl68"/>
    <w:basedOn w:val="Normal"/>
    <w:rsid w:val="00816187"/>
    <w:pPr>
      <w:pBdr>
        <w:top w:color="auto" w:space="0" w:sz="8" w:val="single"/>
        <w:bottom w:color="auto" w:space="0" w:sz="4" w:val="single"/>
      </w:pBdr>
      <w:shd w:color="000000" w:fill="ffffff" w:val="clear"/>
      <w:spacing w:after="100" w:afterAutospacing="1" w:before="100" w:beforeAutospacing="1" w:line="240" w:lineRule="auto"/>
      <w:jc w:val="right"/>
    </w:pPr>
    <w:rPr>
      <w:rFonts w:ascii="Times New Roman" w:cs="Times New Roman" w:eastAsia="Times New Roman" w:hAnsi="Times New Roman"/>
      <w:sz w:val="20"/>
      <w:szCs w:val="20"/>
      <w:lang w:eastAsia="pt-BR"/>
    </w:rPr>
  </w:style>
  <w:style w:type="paragraph" w:styleId="xl69" w:customStyle="1">
    <w:name w:val="xl69"/>
    <w:basedOn w:val="Normal"/>
    <w:rsid w:val="00816187"/>
    <w:pPr>
      <w:pBdr>
        <w:top w:color="auto" w:space="0" w:sz="8" w:val="single"/>
        <w:bottom w:color="auto" w:space="0" w:sz="4" w:val="single"/>
      </w:pBdr>
      <w:shd w:color="000000" w:fill="ffffff" w:val="clear"/>
      <w:spacing w:after="100" w:afterAutospacing="1" w:before="100" w:beforeAutospacing="1" w:line="240" w:lineRule="auto"/>
      <w:jc w:val="center"/>
      <w:textAlignment w:val="center"/>
    </w:pPr>
    <w:rPr>
      <w:rFonts w:ascii="Times New Roman" w:cs="Times New Roman" w:eastAsia="Times New Roman" w:hAnsi="Times New Roman"/>
      <w:b w:val="1"/>
      <w:bCs w:val="1"/>
      <w:sz w:val="20"/>
      <w:szCs w:val="20"/>
      <w:lang w:eastAsia="pt-BR"/>
    </w:rPr>
  </w:style>
  <w:style w:type="paragraph" w:styleId="xl70" w:customStyle="1">
    <w:name w:val="xl70"/>
    <w:basedOn w:val="Normal"/>
    <w:rsid w:val="00816187"/>
    <w:pPr>
      <w:pBdr>
        <w:top w:color="auto" w:space="0" w:sz="4" w:val="single"/>
        <w:bottom w:color="auto" w:space="0" w:sz="8" w:val="single"/>
      </w:pBdr>
      <w:shd w:color="000000" w:fill="ffffff" w:val="clear"/>
      <w:spacing w:after="100" w:afterAutospacing="1" w:before="100" w:beforeAutospacing="1" w:line="240" w:lineRule="auto"/>
      <w:textAlignment w:val="center"/>
    </w:pPr>
    <w:rPr>
      <w:rFonts w:ascii="Times New Roman" w:cs="Times New Roman" w:eastAsia="Times New Roman" w:hAnsi="Times New Roman"/>
      <w:b w:val="1"/>
      <w:bCs w:val="1"/>
      <w:sz w:val="20"/>
      <w:szCs w:val="20"/>
      <w:lang w:eastAsia="pt-BR"/>
    </w:rPr>
  </w:style>
  <w:style w:type="paragraph" w:styleId="xl71" w:customStyle="1">
    <w:name w:val="xl71"/>
    <w:basedOn w:val="Normal"/>
    <w:rsid w:val="00816187"/>
    <w:pPr>
      <w:shd w:color="000000" w:fill="ffffff" w:val="clear"/>
      <w:spacing w:after="100" w:afterAutospacing="1" w:before="100" w:beforeAutospacing="1" w:line="240" w:lineRule="auto"/>
      <w:jc w:val="center"/>
    </w:pPr>
    <w:rPr>
      <w:rFonts w:ascii="Times New Roman" w:cs="Times New Roman" w:eastAsia="Times New Roman" w:hAnsi="Times New Roman"/>
      <w:sz w:val="15"/>
      <w:szCs w:val="15"/>
      <w:lang w:eastAsia="pt-BR"/>
    </w:rPr>
  </w:style>
  <w:style w:type="paragraph" w:styleId="xl72" w:customStyle="1">
    <w:name w:val="xl72"/>
    <w:basedOn w:val="Normal"/>
    <w:rsid w:val="00816187"/>
    <w:pPr>
      <w:shd w:color="000000" w:fill="ffffff" w:val="clear"/>
      <w:spacing w:after="100" w:afterAutospacing="1" w:before="100" w:beforeAutospacing="1" w:line="240" w:lineRule="auto"/>
      <w:textAlignment w:val="center"/>
    </w:pPr>
    <w:rPr>
      <w:rFonts w:ascii="Times New Roman" w:cs="Times New Roman" w:eastAsia="Times New Roman" w:hAnsi="Times New Roman"/>
      <w:b w:val="1"/>
      <w:bCs w:val="1"/>
      <w:sz w:val="20"/>
      <w:szCs w:val="20"/>
      <w:lang w:eastAsia="pt-BR"/>
    </w:rPr>
  </w:style>
  <w:style w:type="paragraph" w:styleId="xl73" w:customStyle="1">
    <w:name w:val="xl73"/>
    <w:basedOn w:val="Normal"/>
    <w:rsid w:val="00816187"/>
    <w:pPr>
      <w:pBdr>
        <w:top w:color="auto" w:space="0" w:sz="4" w:val="single"/>
        <w:bottom w:color="auto" w:space="0" w:sz="8" w:val="single"/>
      </w:pBdr>
      <w:shd w:color="000000" w:fill="ffffff" w:val="clear"/>
      <w:spacing w:after="100" w:afterAutospacing="1" w:before="100" w:beforeAutospacing="1" w:line="240" w:lineRule="auto"/>
      <w:jc w:val="right"/>
    </w:pPr>
    <w:rPr>
      <w:rFonts w:ascii="Times New Roman" w:cs="Times New Roman" w:eastAsia="Times New Roman" w:hAnsi="Times New Roman"/>
      <w:sz w:val="20"/>
      <w:szCs w:val="20"/>
      <w:lang w:eastAsia="pt-BR"/>
    </w:rPr>
  </w:style>
  <w:style w:type="paragraph" w:styleId="xl74" w:customStyle="1">
    <w:name w:val="xl74"/>
    <w:basedOn w:val="Normal"/>
    <w:rsid w:val="00816187"/>
    <w:pPr>
      <w:pBdr>
        <w:top w:color="auto" w:space="0" w:sz="4" w:val="single"/>
        <w:bottom w:color="auto" w:space="0" w:sz="8" w:val="single"/>
      </w:pBdr>
      <w:shd w:color="000000" w:fill="ffffff" w:val="clear"/>
      <w:spacing w:after="100" w:afterAutospacing="1" w:before="100" w:beforeAutospacing="1" w:line="240" w:lineRule="auto"/>
      <w:jc w:val="right"/>
    </w:pPr>
    <w:rPr>
      <w:rFonts w:ascii="Times New Roman" w:cs="Times New Roman" w:eastAsia="Times New Roman" w:hAnsi="Times New Roman"/>
      <w:sz w:val="20"/>
      <w:szCs w:val="20"/>
      <w:lang w:eastAsia="pt-BR"/>
    </w:rPr>
  </w:style>
  <w:style w:type="paragraph" w:styleId="xl75" w:customStyle="1">
    <w:name w:val="xl75"/>
    <w:basedOn w:val="Normal"/>
    <w:rsid w:val="00816187"/>
    <w:pPr>
      <w:pBdr>
        <w:top w:color="auto" w:space="0" w:sz="4" w:val="single"/>
        <w:bottom w:color="auto" w:space="0" w:sz="8" w:val="single"/>
      </w:pBdr>
      <w:shd w:color="000000" w:fill="ffffff" w:val="clear"/>
      <w:spacing w:after="100" w:afterAutospacing="1" w:before="100" w:beforeAutospacing="1" w:line="240" w:lineRule="auto"/>
    </w:pPr>
    <w:rPr>
      <w:rFonts w:ascii="Times New Roman" w:cs="Times New Roman" w:eastAsia="Times New Roman" w:hAnsi="Times New Roman"/>
      <w:sz w:val="24"/>
      <w:szCs w:val="24"/>
      <w:lang w:eastAsia="pt-BR"/>
    </w:rPr>
  </w:style>
  <w:style w:type="paragraph" w:styleId="xl76" w:customStyle="1">
    <w:name w:val="xl76"/>
    <w:basedOn w:val="Normal"/>
    <w:rsid w:val="00816187"/>
    <w:pPr>
      <w:shd w:color="000000" w:fill="ffffff" w:val="clear"/>
      <w:spacing w:after="100" w:afterAutospacing="1" w:before="100" w:beforeAutospacing="1" w:line="240" w:lineRule="auto"/>
      <w:jc w:val="center"/>
    </w:pPr>
    <w:rPr>
      <w:rFonts w:ascii="Times New Roman" w:cs="Times New Roman" w:eastAsia="Times New Roman" w:hAnsi="Times New Roman"/>
      <w:sz w:val="20"/>
      <w:szCs w:val="20"/>
      <w:lang w:eastAsia="pt-BR"/>
    </w:rPr>
  </w:style>
  <w:style w:type="paragraph" w:styleId="xl77" w:customStyle="1">
    <w:name w:val="xl77"/>
    <w:basedOn w:val="Normal"/>
    <w:rsid w:val="00816187"/>
    <w:pPr>
      <w:shd w:color="000000" w:fill="ffffff" w:val="clear"/>
      <w:spacing w:after="100" w:afterAutospacing="1" w:before="100" w:beforeAutospacing="1" w:line="240" w:lineRule="auto"/>
      <w:jc w:val="center"/>
    </w:pPr>
    <w:rPr>
      <w:rFonts w:ascii="Times New Roman" w:cs="Times New Roman" w:eastAsia="Times New Roman" w:hAnsi="Times New Roman"/>
      <w:sz w:val="20"/>
      <w:szCs w:val="20"/>
      <w:lang w:eastAsia="pt-BR"/>
    </w:rPr>
  </w:style>
  <w:style w:type="paragraph" w:styleId="xl78" w:customStyle="1">
    <w:name w:val="xl78"/>
    <w:basedOn w:val="Normal"/>
    <w:rsid w:val="00816187"/>
    <w:pPr>
      <w:pBdr>
        <w:top w:color="auto" w:space="0" w:sz="4" w:val="single"/>
        <w:bottom w:color="auto" w:space="0" w:sz="8" w:val="single"/>
      </w:pBdr>
      <w:shd w:color="000000" w:fill="ffffff" w:val="clear"/>
      <w:spacing w:after="100" w:afterAutospacing="1" w:before="100" w:beforeAutospacing="1" w:line="240" w:lineRule="auto"/>
      <w:jc w:val="center"/>
    </w:pPr>
    <w:rPr>
      <w:rFonts w:ascii="Times New Roman" w:cs="Times New Roman" w:eastAsia="Times New Roman" w:hAnsi="Times New Roman"/>
      <w:sz w:val="20"/>
      <w:szCs w:val="20"/>
      <w:lang w:eastAsia="pt-BR"/>
    </w:rPr>
  </w:style>
  <w:style w:type="paragraph" w:styleId="xl79" w:customStyle="1">
    <w:name w:val="xl79"/>
    <w:basedOn w:val="Normal"/>
    <w:rsid w:val="00816187"/>
    <w:pPr>
      <w:pBdr>
        <w:top w:color="auto" w:space="0" w:sz="4" w:val="single"/>
        <w:bottom w:color="auto" w:space="0" w:sz="8" w:val="single"/>
      </w:pBdr>
      <w:shd w:color="000000" w:fill="ffffff" w:val="clear"/>
      <w:spacing w:after="100" w:afterAutospacing="1" w:before="100" w:beforeAutospacing="1" w:line="240" w:lineRule="auto"/>
      <w:jc w:val="center"/>
    </w:pPr>
    <w:rPr>
      <w:rFonts w:ascii="Times New Roman" w:cs="Times New Roman" w:eastAsia="Times New Roman" w:hAnsi="Times New Roman"/>
      <w:sz w:val="20"/>
      <w:szCs w:val="20"/>
      <w:lang w:eastAsia="pt-BR"/>
    </w:rPr>
  </w:style>
  <w:style w:type="paragraph" w:styleId="xl80" w:customStyle="1">
    <w:name w:val="xl80"/>
    <w:basedOn w:val="Normal"/>
    <w:rsid w:val="00816187"/>
    <w:pPr>
      <w:pBdr>
        <w:top w:color="auto" w:space="0" w:sz="4" w:val="single"/>
        <w:bottom w:color="auto" w:space="0" w:sz="8" w:val="single"/>
      </w:pBdr>
      <w:shd w:color="000000" w:fill="ffffff" w:val="clear"/>
      <w:spacing w:after="100" w:afterAutospacing="1" w:before="100" w:beforeAutospacing="1" w:line="240" w:lineRule="auto"/>
      <w:jc w:val="center"/>
    </w:pPr>
    <w:rPr>
      <w:rFonts w:ascii="Times New Roman" w:cs="Times New Roman" w:eastAsia="Times New Roman" w:hAnsi="Times New Roman"/>
      <w:sz w:val="20"/>
      <w:szCs w:val="20"/>
      <w:lang w:eastAsia="pt-BR"/>
    </w:rPr>
  </w:style>
  <w:style w:type="paragraph" w:styleId="xl81" w:customStyle="1">
    <w:name w:val="xl81"/>
    <w:basedOn w:val="Normal"/>
    <w:rsid w:val="00816187"/>
    <w:pPr>
      <w:pBdr>
        <w:top w:color="auto" w:space="0" w:sz="4" w:val="single"/>
        <w:bottom w:color="auto" w:space="0" w:sz="8" w:val="single"/>
      </w:pBdr>
      <w:shd w:color="000000" w:fill="ffffff" w:val="clear"/>
      <w:spacing w:after="100" w:afterAutospacing="1" w:before="100" w:beforeAutospacing="1" w:line="240" w:lineRule="auto"/>
      <w:textAlignment w:val="center"/>
    </w:pPr>
    <w:rPr>
      <w:rFonts w:ascii="Times New Roman" w:cs="Times New Roman" w:eastAsia="Times New Roman" w:hAnsi="Times New Roman"/>
      <w:b w:val="1"/>
      <w:bCs w:val="1"/>
      <w:sz w:val="20"/>
      <w:szCs w:val="20"/>
      <w:lang w:eastAsia="pt-BR"/>
    </w:rPr>
  </w:style>
  <w:style w:type="paragraph" w:styleId="xl82" w:customStyle="1">
    <w:name w:val="xl82"/>
    <w:basedOn w:val="Normal"/>
    <w:rsid w:val="00816187"/>
    <w:pPr>
      <w:pBdr>
        <w:top w:color="auto" w:space="0" w:sz="4" w:val="single"/>
        <w:bottom w:color="auto" w:space="0" w:sz="8" w:val="single"/>
      </w:pBdr>
      <w:shd w:color="000000" w:fill="ffffff" w:val="clear"/>
      <w:spacing w:after="100" w:afterAutospacing="1" w:before="100" w:beforeAutospacing="1" w:line="240" w:lineRule="auto"/>
      <w:jc w:val="right"/>
      <w:textAlignment w:val="center"/>
    </w:pPr>
    <w:rPr>
      <w:rFonts w:ascii="Times New Roman" w:cs="Times New Roman" w:eastAsia="Times New Roman" w:hAnsi="Times New Roman"/>
      <w:b w:val="1"/>
      <w:bCs w:val="1"/>
      <w:sz w:val="20"/>
      <w:szCs w:val="20"/>
      <w:lang w:eastAsia="pt-BR"/>
    </w:rPr>
  </w:style>
  <w:style w:type="paragraph" w:styleId="xl83" w:customStyle="1">
    <w:name w:val="xl83"/>
    <w:basedOn w:val="Normal"/>
    <w:rsid w:val="00816187"/>
    <w:pPr>
      <w:pBdr>
        <w:top w:color="auto" w:space="0" w:sz="4" w:val="single"/>
        <w:bottom w:color="auto" w:space="0" w:sz="8" w:val="single"/>
      </w:pBdr>
      <w:shd w:color="000000" w:fill="ffffff" w:val="clear"/>
      <w:spacing w:after="100" w:afterAutospacing="1" w:before="100" w:beforeAutospacing="1" w:line="240" w:lineRule="auto"/>
      <w:jc w:val="center"/>
    </w:pPr>
    <w:rPr>
      <w:rFonts w:ascii="Times New Roman" w:cs="Times New Roman" w:eastAsia="Times New Roman" w:hAnsi="Times New Roman"/>
      <w:sz w:val="24"/>
      <w:szCs w:val="24"/>
      <w:lang w:eastAsia="pt-BR"/>
    </w:rPr>
  </w:style>
  <w:style w:type="paragraph" w:styleId="xl84" w:customStyle="1">
    <w:name w:val="xl84"/>
    <w:basedOn w:val="Normal"/>
    <w:rsid w:val="00816187"/>
    <w:pPr>
      <w:pBdr>
        <w:top w:color="auto" w:space="0" w:sz="4" w:val="single"/>
        <w:bottom w:color="auto" w:space="0" w:sz="8" w:val="single"/>
      </w:pBdr>
      <w:shd w:color="000000" w:fill="ffffff" w:val="clear"/>
      <w:spacing w:after="100" w:afterAutospacing="1" w:before="100" w:beforeAutospacing="1" w:line="240" w:lineRule="auto"/>
    </w:pPr>
    <w:rPr>
      <w:rFonts w:ascii="Times New Roman" w:cs="Times New Roman" w:eastAsia="Times New Roman" w:hAnsi="Times New Roman"/>
      <w:b w:val="1"/>
      <w:bCs w:val="1"/>
      <w:sz w:val="24"/>
      <w:szCs w:val="24"/>
      <w:lang w:eastAsia="pt-BR"/>
    </w:rPr>
  </w:style>
  <w:style w:type="paragraph" w:styleId="xl85" w:customStyle="1">
    <w:name w:val="xl85"/>
    <w:basedOn w:val="Normal"/>
    <w:rsid w:val="00816187"/>
    <w:pPr>
      <w:pBdr>
        <w:top w:color="auto" w:space="0" w:sz="4" w:val="single"/>
        <w:bottom w:color="auto" w:space="0" w:sz="8" w:val="single"/>
      </w:pBdr>
      <w:shd w:color="000000" w:fill="ffffff" w:val="clear"/>
      <w:spacing w:after="100" w:afterAutospacing="1" w:before="100" w:beforeAutospacing="1" w:line="240" w:lineRule="auto"/>
    </w:pPr>
    <w:rPr>
      <w:rFonts w:ascii="Times New Roman" w:cs="Times New Roman" w:eastAsia="Times New Roman" w:hAnsi="Times New Roman"/>
      <w:sz w:val="20"/>
      <w:szCs w:val="20"/>
      <w:lang w:eastAsia="pt-BR"/>
    </w:rPr>
  </w:style>
  <w:style w:type="paragraph" w:styleId="xl86" w:customStyle="1">
    <w:name w:val="xl86"/>
    <w:basedOn w:val="Normal"/>
    <w:rsid w:val="00816187"/>
    <w:pPr>
      <w:pBdr>
        <w:top w:color="auto" w:space="0" w:sz="4" w:val="single"/>
        <w:bottom w:color="auto" w:space="0" w:sz="8" w:val="single"/>
      </w:pBdr>
      <w:shd w:color="000000" w:fill="ffffff" w:val="clear"/>
      <w:spacing w:after="100" w:afterAutospacing="1" w:before="100" w:beforeAutospacing="1" w:line="240" w:lineRule="auto"/>
      <w:jc w:val="center"/>
    </w:pPr>
    <w:rPr>
      <w:rFonts w:ascii="Times New Roman" w:cs="Times New Roman" w:eastAsia="Times New Roman" w:hAnsi="Times New Roman"/>
      <w:b w:val="1"/>
      <w:bCs w:val="1"/>
      <w:sz w:val="20"/>
      <w:szCs w:val="20"/>
      <w:lang w:eastAsia="pt-BR"/>
    </w:rPr>
  </w:style>
  <w:style w:type="paragraph" w:styleId="xl87" w:customStyle="1">
    <w:name w:val="xl87"/>
    <w:basedOn w:val="Normal"/>
    <w:rsid w:val="00816187"/>
    <w:pPr>
      <w:shd w:color="000000" w:fill="ffffff" w:val="clear"/>
      <w:spacing w:after="100" w:afterAutospacing="1" w:before="100" w:beforeAutospacing="1" w:line="240" w:lineRule="auto"/>
    </w:pPr>
    <w:rPr>
      <w:rFonts w:ascii="Times New Roman" w:cs="Times New Roman" w:eastAsia="Times New Roman" w:hAnsi="Times New Roman"/>
      <w:b w:val="1"/>
      <w:bCs w:val="1"/>
      <w:sz w:val="20"/>
      <w:szCs w:val="20"/>
      <w:lang w:eastAsia="pt-BR"/>
    </w:rPr>
  </w:style>
  <w:style w:type="paragraph" w:styleId="xl88" w:customStyle="1">
    <w:name w:val="xl88"/>
    <w:basedOn w:val="Normal"/>
    <w:rsid w:val="00816187"/>
    <w:pPr>
      <w:pBdr>
        <w:top w:color="auto" w:space="0" w:sz="4" w:val="single"/>
        <w:bottom w:color="auto" w:space="0" w:sz="8" w:val="single"/>
      </w:pBdr>
      <w:shd w:color="000000" w:fill="ffffff" w:val="clear"/>
      <w:spacing w:after="100" w:afterAutospacing="1" w:before="100" w:beforeAutospacing="1" w:line="240" w:lineRule="auto"/>
    </w:pPr>
    <w:rPr>
      <w:rFonts w:ascii="Times New Roman" w:cs="Times New Roman" w:eastAsia="Times New Roman" w:hAnsi="Times New Roman"/>
      <w:b w:val="1"/>
      <w:bCs w:val="1"/>
      <w:sz w:val="20"/>
      <w:szCs w:val="20"/>
      <w:lang w:eastAsia="pt-BR"/>
    </w:rPr>
  </w:style>
  <w:style w:type="paragraph" w:styleId="xl89" w:customStyle="1">
    <w:name w:val="xl89"/>
    <w:basedOn w:val="Normal"/>
    <w:rsid w:val="00816187"/>
    <w:pPr>
      <w:shd w:color="000000" w:fill="ffffff" w:val="clear"/>
      <w:spacing w:after="100" w:afterAutospacing="1" w:before="100" w:beforeAutospacing="1" w:line="240" w:lineRule="auto"/>
      <w:textAlignment w:val="center"/>
    </w:pPr>
    <w:rPr>
      <w:rFonts w:ascii="Times New Roman" w:cs="Times New Roman" w:eastAsia="Times New Roman" w:hAnsi="Times New Roman"/>
      <w:b w:val="1"/>
      <w:bCs w:val="1"/>
      <w:sz w:val="20"/>
      <w:szCs w:val="20"/>
      <w:lang w:eastAsia="pt-BR"/>
    </w:rPr>
  </w:style>
  <w:style w:type="paragraph" w:styleId="xl90" w:customStyle="1">
    <w:name w:val="xl90"/>
    <w:basedOn w:val="Normal"/>
    <w:rsid w:val="00816187"/>
    <w:pPr>
      <w:pBdr>
        <w:top w:color="auto" w:space="0" w:sz="4" w:val="single"/>
        <w:bottom w:color="auto" w:space="0" w:sz="8" w:val="single"/>
      </w:pBdr>
      <w:shd w:color="000000" w:fill="ffffff" w:val="clear"/>
      <w:spacing w:after="100" w:afterAutospacing="1" w:before="100" w:beforeAutospacing="1" w:line="240" w:lineRule="auto"/>
    </w:pPr>
    <w:rPr>
      <w:rFonts w:ascii="Times New Roman" w:cs="Times New Roman" w:eastAsia="Times New Roman" w:hAnsi="Times New Roman"/>
      <w:b w:val="1"/>
      <w:bCs w:val="1"/>
      <w:sz w:val="20"/>
      <w:szCs w:val="20"/>
      <w:lang w:eastAsia="pt-BR"/>
    </w:rPr>
  </w:style>
  <w:style w:type="paragraph" w:styleId="xl91" w:customStyle="1">
    <w:name w:val="xl91"/>
    <w:basedOn w:val="Normal"/>
    <w:rsid w:val="00816187"/>
    <w:pPr>
      <w:pBdr>
        <w:top w:color="auto" w:space="0" w:sz="4" w:val="single"/>
        <w:bottom w:color="auto" w:space="0" w:sz="8" w:val="single"/>
      </w:pBdr>
      <w:shd w:color="000000" w:fill="ffffff" w:val="clear"/>
      <w:spacing w:after="100" w:afterAutospacing="1" w:before="100" w:beforeAutospacing="1" w:line="240" w:lineRule="auto"/>
      <w:jc w:val="center"/>
      <w:textAlignment w:val="center"/>
    </w:pPr>
    <w:rPr>
      <w:rFonts w:ascii="Times New Roman" w:cs="Times New Roman" w:eastAsia="Times New Roman" w:hAnsi="Times New Roman"/>
      <w:b w:val="1"/>
      <w:bCs w:val="1"/>
      <w:sz w:val="20"/>
      <w:szCs w:val="20"/>
      <w:lang w:eastAsia="pt-BR"/>
    </w:rPr>
  </w:style>
  <w:style w:type="paragraph" w:styleId="xl92" w:customStyle="1">
    <w:name w:val="xl92"/>
    <w:basedOn w:val="Normal"/>
    <w:rsid w:val="00816187"/>
    <w:pPr>
      <w:shd w:color="000000" w:fill="ffffff" w:val="clear"/>
      <w:spacing w:after="100" w:afterAutospacing="1" w:before="100" w:beforeAutospacing="1" w:line="240" w:lineRule="auto"/>
    </w:pPr>
    <w:rPr>
      <w:rFonts w:ascii="Times New Roman" w:cs="Times New Roman" w:eastAsia="Times New Roman" w:hAnsi="Times New Roman"/>
      <w:b w:val="1"/>
      <w:bCs w:val="1"/>
      <w:sz w:val="24"/>
      <w:szCs w:val="24"/>
      <w:lang w:eastAsia="pt-BR"/>
    </w:rPr>
  </w:style>
  <w:style w:type="paragraph" w:styleId="xl93" w:customStyle="1">
    <w:name w:val="xl93"/>
    <w:basedOn w:val="Normal"/>
    <w:rsid w:val="00816187"/>
    <w:pPr>
      <w:shd w:color="000000" w:fill="ffffff" w:val="clear"/>
      <w:spacing w:after="100" w:afterAutospacing="1" w:before="100" w:beforeAutospacing="1" w:line="240" w:lineRule="auto"/>
      <w:jc w:val="right"/>
    </w:pPr>
    <w:rPr>
      <w:rFonts w:ascii="Times New Roman" w:cs="Times New Roman" w:eastAsia="Times New Roman" w:hAnsi="Times New Roman"/>
      <w:sz w:val="20"/>
      <w:szCs w:val="20"/>
      <w:lang w:eastAsia="pt-BR"/>
    </w:rPr>
  </w:style>
  <w:style w:type="paragraph" w:styleId="xl94" w:customStyle="1">
    <w:name w:val="xl94"/>
    <w:basedOn w:val="Normal"/>
    <w:rsid w:val="00816187"/>
    <w:pPr>
      <w:shd w:color="000000" w:fill="ffffff" w:val="clear"/>
      <w:spacing w:after="100" w:afterAutospacing="1" w:before="100" w:beforeAutospacing="1" w:line="240" w:lineRule="auto"/>
      <w:jc w:val="right"/>
    </w:pPr>
    <w:rPr>
      <w:rFonts w:ascii="Times New Roman" w:cs="Times New Roman" w:eastAsia="Times New Roman" w:hAnsi="Times New Roman"/>
      <w:sz w:val="20"/>
      <w:szCs w:val="20"/>
      <w:lang w:eastAsia="pt-BR"/>
    </w:rPr>
  </w:style>
  <w:style w:type="paragraph" w:styleId="xl95" w:customStyle="1">
    <w:name w:val="xl95"/>
    <w:basedOn w:val="Normal"/>
    <w:rsid w:val="00816187"/>
    <w:pPr>
      <w:pBdr>
        <w:top w:color="auto" w:space="0" w:sz="4" w:val="single"/>
        <w:bottom w:color="auto" w:space="0" w:sz="8" w:val="single"/>
      </w:pBdr>
      <w:shd w:color="000000" w:fill="ffffff" w:val="clear"/>
      <w:spacing w:after="100" w:afterAutospacing="1" w:before="100" w:beforeAutospacing="1" w:line="240" w:lineRule="auto"/>
    </w:pPr>
    <w:rPr>
      <w:rFonts w:ascii="Times New Roman" w:cs="Times New Roman" w:eastAsia="Times New Roman" w:hAnsi="Times New Roman"/>
      <w:b w:val="1"/>
      <w:bCs w:val="1"/>
      <w:sz w:val="24"/>
      <w:szCs w:val="24"/>
      <w:lang w:eastAsia="pt-BR"/>
    </w:rPr>
  </w:style>
  <w:style w:type="paragraph" w:styleId="xl96" w:customStyle="1">
    <w:name w:val="xl96"/>
    <w:basedOn w:val="Normal"/>
    <w:rsid w:val="00816187"/>
    <w:pPr>
      <w:shd w:color="000000" w:fill="ffffff" w:val="clear"/>
      <w:spacing w:after="100" w:afterAutospacing="1" w:before="100" w:beforeAutospacing="1" w:line="240" w:lineRule="auto"/>
    </w:pPr>
    <w:rPr>
      <w:rFonts w:ascii="Times New Roman" w:cs="Times New Roman" w:eastAsia="Times New Roman" w:hAnsi="Times New Roman"/>
      <w:b w:val="1"/>
      <w:bCs w:val="1"/>
      <w:sz w:val="24"/>
      <w:szCs w:val="24"/>
      <w:lang w:eastAsia="pt-BR"/>
    </w:rPr>
  </w:style>
  <w:style w:type="paragraph" w:styleId="xl97" w:customStyle="1">
    <w:name w:val="xl97"/>
    <w:basedOn w:val="Normal"/>
    <w:rsid w:val="00816187"/>
    <w:pPr>
      <w:pBdr>
        <w:top w:color="auto" w:space="0" w:sz="4" w:val="single"/>
        <w:bottom w:color="auto" w:space="0" w:sz="8" w:val="single"/>
      </w:pBdr>
      <w:shd w:color="000000" w:fill="ffffff" w:val="clear"/>
      <w:spacing w:after="100" w:afterAutospacing="1" w:before="100" w:beforeAutospacing="1" w:line="240" w:lineRule="auto"/>
    </w:pPr>
    <w:rPr>
      <w:rFonts w:ascii="Times New Roman" w:cs="Times New Roman" w:eastAsia="Times New Roman" w:hAnsi="Times New Roman"/>
      <w:sz w:val="20"/>
      <w:szCs w:val="20"/>
      <w:lang w:eastAsia="pt-BR"/>
    </w:rPr>
  </w:style>
  <w:style w:type="paragraph" w:styleId="Texto" w:customStyle="1">
    <w:name w:val="Texto"/>
    <w:basedOn w:val="Normal"/>
    <w:link w:val="TextoChar"/>
    <w:qFormat w:val="1"/>
    <w:rsid w:val="007D34B1"/>
    <w:pPr>
      <w:spacing w:after="0" w:before="240" w:line="360" w:lineRule="auto"/>
      <w:ind w:firstLine="1134"/>
      <w:jc w:val="both"/>
    </w:pPr>
    <w:rPr>
      <w:rFonts w:ascii="Times New Roman" w:cs="Times New Roman" w:hAnsi="Times New Roman"/>
      <w:sz w:val="24"/>
      <w:szCs w:val="24"/>
    </w:rPr>
  </w:style>
  <w:style w:type="character" w:styleId="Ttulo2Char" w:customStyle="1">
    <w:name w:val="Título 2 Char"/>
    <w:basedOn w:val="Fontepargpadro"/>
    <w:link w:val="Ttulo2"/>
    <w:uiPriority w:val="9"/>
    <w:rsid w:val="002E1F20"/>
    <w:rPr>
      <w:rFonts w:ascii="Times New Roman" w:hAnsi="Times New Roman" w:cstheme="majorBidi" w:eastAsiaTheme="majorEastAsia"/>
      <w:b w:val="1"/>
      <w:sz w:val="24"/>
      <w:szCs w:val="26"/>
    </w:rPr>
  </w:style>
  <w:style w:type="character" w:styleId="TextoChar" w:customStyle="1">
    <w:name w:val="Texto Char"/>
    <w:basedOn w:val="Fontepargpadro"/>
    <w:link w:val="Texto"/>
    <w:rsid w:val="007D34B1"/>
    <w:rPr>
      <w:rFonts w:ascii="Times New Roman" w:cs="Times New Roman" w:hAnsi="Times New Roman"/>
      <w:sz w:val="24"/>
      <w:szCs w:val="24"/>
    </w:rPr>
  </w:style>
  <w:style w:type="character" w:styleId="Ttulo3Char" w:customStyle="1">
    <w:name w:val="Título 3 Char"/>
    <w:basedOn w:val="Fontepargpadro"/>
    <w:link w:val="Ttulo3"/>
    <w:uiPriority w:val="9"/>
    <w:rsid w:val="007D34B1"/>
    <w:rPr>
      <w:rFonts w:ascii="Times New Roman" w:hAnsi="Times New Roman" w:cstheme="majorBidi" w:eastAsiaTheme="majorEastAsia"/>
      <w:b w:val="1"/>
      <w:sz w:val="24"/>
      <w:szCs w:val="24"/>
    </w:rPr>
  </w:style>
  <w:style w:type="table" w:styleId="Tabelacomgrade">
    <w:name w:val="Table Grid"/>
    <w:basedOn w:val="Tabelanormal"/>
    <w:uiPriority w:val="39"/>
    <w:rsid w:val="00C14D80"/>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dicedeilustraes">
    <w:name w:val="table of figures"/>
    <w:basedOn w:val="Normal"/>
    <w:next w:val="Normal"/>
    <w:uiPriority w:val="99"/>
    <w:unhideWhenUsed w:val="1"/>
    <w:rsid w:val="0011454D"/>
    <w:pPr>
      <w:tabs>
        <w:tab w:val="left" w:pos="992"/>
      </w:tabs>
      <w:spacing w:after="0" w:before="120" w:line="240" w:lineRule="auto"/>
      <w:ind w:left="992" w:hanging="992"/>
    </w:pPr>
    <w:rPr>
      <w:rFonts w:ascii="Times New Roman" w:hAnsi="Times New Roman"/>
      <w:sz w:val="20"/>
    </w:rPr>
  </w:style>
  <w:style w:type="paragraph" w:styleId="Sumrio1">
    <w:name w:val="toc 1"/>
    <w:basedOn w:val="Normal"/>
    <w:next w:val="Normal"/>
    <w:autoRedefine w:val="1"/>
    <w:uiPriority w:val="39"/>
    <w:unhideWhenUsed w:val="1"/>
    <w:rsid w:val="000E1434"/>
    <w:pPr>
      <w:tabs>
        <w:tab w:val="right" w:leader="dot" w:pos="8494"/>
      </w:tabs>
      <w:spacing w:after="100"/>
    </w:pPr>
    <w:rPr>
      <w:rFonts w:ascii="Times New Roman" w:hAnsi="Times New Roman"/>
      <w:noProof w:val="1"/>
      <w:sz w:val="24"/>
    </w:rPr>
  </w:style>
  <w:style w:type="paragraph" w:styleId="Sumrio2">
    <w:name w:val="toc 2"/>
    <w:basedOn w:val="Normal"/>
    <w:next w:val="Normal"/>
    <w:autoRedefine w:val="1"/>
    <w:uiPriority w:val="39"/>
    <w:unhideWhenUsed w:val="1"/>
    <w:rsid w:val="007832C8"/>
    <w:pPr>
      <w:spacing w:after="100"/>
      <w:ind w:left="220"/>
    </w:pPr>
    <w:rPr>
      <w:rFonts w:ascii="Times New Roman" w:hAnsi="Times New Roman"/>
    </w:rPr>
  </w:style>
  <w:style w:type="paragraph" w:styleId="Sumrio3">
    <w:name w:val="toc 3"/>
    <w:basedOn w:val="Normal"/>
    <w:next w:val="Normal"/>
    <w:autoRedefine w:val="1"/>
    <w:uiPriority w:val="39"/>
    <w:unhideWhenUsed w:val="1"/>
    <w:rsid w:val="007832C8"/>
    <w:pPr>
      <w:spacing w:after="100"/>
      <w:ind w:left="440"/>
    </w:pPr>
    <w:rPr>
      <w:rFonts w:ascii="Times New Roman" w:hAnsi="Times New Roman"/>
    </w:rPr>
  </w:style>
  <w:style w:type="character" w:styleId="Refdecomentrio">
    <w:name w:val="annotation reference"/>
    <w:basedOn w:val="Fontepargpadro"/>
    <w:uiPriority w:val="99"/>
    <w:semiHidden w:val="1"/>
    <w:unhideWhenUsed w:val="1"/>
    <w:rsid w:val="00EE41BE"/>
    <w:rPr>
      <w:sz w:val="16"/>
      <w:szCs w:val="16"/>
    </w:rPr>
  </w:style>
  <w:style w:type="paragraph" w:styleId="Assuntodocomentrio">
    <w:name w:val="annotation subject"/>
    <w:basedOn w:val="Textodecomentrio"/>
    <w:next w:val="Textodecomentrio"/>
    <w:link w:val="AssuntodocomentrioChar"/>
    <w:uiPriority w:val="99"/>
    <w:semiHidden w:val="1"/>
    <w:unhideWhenUsed w:val="1"/>
    <w:rsid w:val="00EE41BE"/>
    <w:pPr>
      <w:spacing w:after="160" w:line="240" w:lineRule="auto"/>
    </w:pPr>
    <w:rPr>
      <w:rFonts w:asciiTheme="minorHAnsi" w:cstheme="minorBidi" w:eastAsiaTheme="minorHAnsi" w:hAnsiTheme="minorHAnsi"/>
      <w:b w:val="1"/>
      <w:bCs w:val="1"/>
      <w:lang w:val="pt-BR"/>
    </w:rPr>
  </w:style>
  <w:style w:type="character" w:styleId="AssuntodocomentrioChar" w:customStyle="1">
    <w:name w:val="Assunto do comentário Char"/>
    <w:basedOn w:val="TextodecomentrioChar"/>
    <w:link w:val="Assuntodocomentrio"/>
    <w:uiPriority w:val="99"/>
    <w:semiHidden w:val="1"/>
    <w:rsid w:val="00EE41BE"/>
    <w:rPr>
      <w:rFonts w:ascii="Calibri" w:cs="Times New Roman" w:eastAsia="Calibri" w:hAnsi="Calibri"/>
      <w:b w:val="1"/>
      <w:bCs w:val="1"/>
      <w:sz w:val="20"/>
      <w:szCs w:val="20"/>
      <w:lang w:val="x-none"/>
    </w:rPr>
  </w:style>
  <w:style w:type="character" w:styleId="A14" w:customStyle="1">
    <w:name w:val="A14"/>
    <w:uiPriority w:val="99"/>
    <w:rsid w:val="005D2936"/>
    <w:rPr>
      <w:color w:val="000000"/>
      <w:sz w:val="14"/>
      <w:szCs w:val="14"/>
    </w:rPr>
  </w:style>
  <w:style w:type="character" w:styleId="ref-title" w:customStyle="1">
    <w:name w:val="ref-title"/>
    <w:basedOn w:val="Fontepargpadro"/>
    <w:rsid w:val="006E1ABC"/>
  </w:style>
  <w:style w:type="character" w:styleId="ref-journal" w:customStyle="1">
    <w:name w:val="ref-journal"/>
    <w:basedOn w:val="Fontepargpadro"/>
    <w:rsid w:val="006E1ABC"/>
  </w:style>
  <w:style w:type="character" w:styleId="ref-vol" w:customStyle="1">
    <w:name w:val="ref-vol"/>
    <w:basedOn w:val="Fontepargpadro"/>
    <w:rsid w:val="006E1ABC"/>
  </w:style>
  <w:style w:type="character" w:styleId="A5" w:customStyle="1">
    <w:name w:val="A5"/>
    <w:uiPriority w:val="99"/>
    <w:rsid w:val="001D383D"/>
    <w:rPr>
      <w:color w:val="000000"/>
      <w:sz w:val="20"/>
      <w:szCs w:val="20"/>
    </w:rPr>
  </w:style>
  <w:style w:type="character" w:styleId="separator" w:customStyle="1">
    <w:name w:val="_separator"/>
    <w:basedOn w:val="Fontepargpadro"/>
    <w:rsid w:val="00094A32"/>
  </w:style>
  <w:style w:type="character" w:styleId="group-doi" w:customStyle="1">
    <w:name w:val="group-doi"/>
    <w:basedOn w:val="Fontepargpadro"/>
    <w:rsid w:val="00094A32"/>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70.0" w:type="dxa"/>
        <w:bottom w:w="0.0" w:type="dxa"/>
        <w:right w:w="70.0" w:type="dxa"/>
      </w:tblCellMar>
    </w:tblPr>
  </w:style>
  <w:style w:type="table" w:styleId="Table4">
    <w:basedOn w:val="TableNormal"/>
    <w:tblPr>
      <w:tblStyleRowBandSize w:val="1"/>
      <w:tblStyleColBandSize w:val="1"/>
      <w:tblCellMar>
        <w:top w:w="0.0" w:type="dxa"/>
        <w:left w:w="70.0" w:type="dxa"/>
        <w:bottom w:w="0.0" w:type="dxa"/>
        <w:right w:w="70.0" w:type="dxa"/>
      </w:tblCellMar>
    </w:tblPr>
  </w:style>
  <w:style w:type="table" w:styleId="Table5">
    <w:basedOn w:val="TableNormal"/>
    <w:tblPr>
      <w:tblStyleRowBandSize w:val="1"/>
      <w:tblStyleColBandSize w:val="1"/>
      <w:tblCellMar>
        <w:top w:w="0.0" w:type="dxa"/>
        <w:left w:w="70.0" w:type="dxa"/>
        <w:bottom w:w="0.0" w:type="dxa"/>
        <w:right w:w="70.0" w:type="dxa"/>
      </w:tblCellMar>
    </w:tblPr>
  </w:style>
  <w:style w:type="table" w:styleId="Table6">
    <w:basedOn w:val="TableNormal"/>
    <w:tblPr>
      <w:tblStyleRowBandSize w:val="1"/>
      <w:tblStyleColBandSize w:val="1"/>
      <w:tblCellMar>
        <w:top w:w="0.0" w:type="dxa"/>
        <w:left w:w="70.0" w:type="dxa"/>
        <w:bottom w:w="0.0" w:type="dxa"/>
        <w:right w:w="70.0" w:type="dxa"/>
      </w:tblCellMar>
    </w:tblPr>
  </w:style>
  <w:style w:type="table" w:styleId="Table7">
    <w:basedOn w:val="TableNormal"/>
    <w:tblPr>
      <w:tblStyleRowBandSize w:val="1"/>
      <w:tblStyleColBandSize w:val="1"/>
      <w:tblCellMar>
        <w:top w:w="0.0" w:type="dxa"/>
        <w:left w:w="70.0" w:type="dxa"/>
        <w:bottom w:w="0.0" w:type="dxa"/>
        <w:right w:w="70.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70.0" w:type="dxa"/>
        <w:bottom w:w="0.0" w:type="dxa"/>
        <w:right w:w="70.0" w:type="dxa"/>
      </w:tblCellMar>
    </w:tblPr>
  </w:style>
  <w:style w:type="table" w:styleId="Table12">
    <w:basedOn w:val="TableNormal"/>
    <w:tblPr>
      <w:tblStyleRowBandSize w:val="1"/>
      <w:tblStyleColBandSize w:val="1"/>
      <w:tblCellMar>
        <w:top w:w="0.0" w:type="dxa"/>
        <w:left w:w="70.0" w:type="dxa"/>
        <w:bottom w:w="0.0" w:type="dxa"/>
        <w:right w:w="70.0" w:type="dxa"/>
      </w:tblCellMar>
    </w:tblPr>
  </w:style>
  <w:style w:type="table" w:styleId="Table13">
    <w:basedOn w:val="TableNormal"/>
    <w:tblPr>
      <w:tblStyleRowBandSize w:val="1"/>
      <w:tblStyleColBandSize w:val="1"/>
      <w:tblCellMar>
        <w:top w:w="0.0" w:type="dxa"/>
        <w:left w:w="70.0" w:type="dxa"/>
        <w:bottom w:w="0.0" w:type="dxa"/>
        <w:right w:w="70.0" w:type="dxa"/>
      </w:tblCellMar>
    </w:tblPr>
  </w:style>
  <w:style w:type="table" w:styleId="Table14">
    <w:basedOn w:val="TableNormal"/>
    <w:tblPr>
      <w:tblStyleRowBandSize w:val="1"/>
      <w:tblStyleColBandSize w:val="1"/>
      <w:tblCellMar>
        <w:top w:w="0.0" w:type="dxa"/>
        <w:left w:w="70.0" w:type="dxa"/>
        <w:bottom w:w="0.0" w:type="dxa"/>
        <w:right w:w="70.0" w:type="dxa"/>
      </w:tblCellMar>
    </w:tblPr>
  </w:style>
  <w:style w:type="table" w:styleId="Table15">
    <w:basedOn w:val="TableNormal"/>
    <w:tblPr>
      <w:tblStyleRowBandSize w:val="1"/>
      <w:tblStyleColBandSize w:val="1"/>
      <w:tblCellMar>
        <w:top w:w="0.0" w:type="dxa"/>
        <w:left w:w="70.0" w:type="dxa"/>
        <w:bottom w:w="0.0" w:type="dxa"/>
        <w:right w:w="70.0" w:type="dxa"/>
      </w:tblCellMar>
    </w:tblPr>
  </w:style>
  <w:style w:type="table" w:styleId="Table1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70.0" w:type="dxa"/>
        <w:bottom w:w="0.0" w:type="dxa"/>
        <w:right w:w="70.0" w:type="dxa"/>
      </w:tblCellMar>
    </w:tblPr>
  </w:style>
  <w:style w:type="table" w:styleId="Table20">
    <w:basedOn w:val="TableNormal"/>
    <w:tblPr>
      <w:tblStyleRowBandSize w:val="1"/>
      <w:tblStyleColBandSize w:val="1"/>
      <w:tblCellMar>
        <w:top w:w="0.0" w:type="dxa"/>
        <w:left w:w="70.0" w:type="dxa"/>
        <w:bottom w:w="0.0" w:type="dxa"/>
        <w:right w:w="70.0" w:type="dxa"/>
      </w:tblCellMar>
    </w:tblPr>
  </w:style>
  <w:style w:type="table" w:styleId="Table21">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hdl.handle.net/11449/110622" TargetMode="External"/><Relationship Id="rId42" Type="http://schemas.openxmlformats.org/officeDocument/2006/relationships/hyperlink" Target="http://dspace.sti.ufcg.edu.br:8080/jspui/handle/riufcg/11728" TargetMode="External"/><Relationship Id="rId41" Type="http://schemas.openxmlformats.org/officeDocument/2006/relationships/hyperlink" Target="http://qgis.osgeo.org" TargetMode="External"/><Relationship Id="rId44" Type="http://schemas.openxmlformats.org/officeDocument/2006/relationships/image" Target="media/image21.png"/><Relationship Id="rId43" Type="http://schemas.openxmlformats.org/officeDocument/2006/relationships/header" Target="header5.xml"/><Relationship Id="rId46" Type="http://schemas.openxmlformats.org/officeDocument/2006/relationships/hyperlink" Target="https://doi.org/10.3201%2Feid1112.041278" TargetMode="External"/><Relationship Id="rId45" Type="http://schemas.openxmlformats.org/officeDocument/2006/relationships/hyperlink" Target="http://portalarquivos.saude.gov.br/images/pdf/2015/outubro/19/Normas-tecnicas-profilaxia-raiva.pdf" TargetMode="External"/><Relationship Id="rId104" Type="http://schemas.openxmlformats.org/officeDocument/2006/relationships/image" Target="media/image32.png"/><Relationship Id="rId48" Type="http://schemas.openxmlformats.org/officeDocument/2006/relationships/hyperlink" Target="http://dspace.sti.ufcg.edu.br:8080/jspui/handle/riufcg/11728" TargetMode="External"/><Relationship Id="rId47" Type="http://schemas.openxmlformats.org/officeDocument/2006/relationships/hyperlink" Target="https://dspace.unipampa.edu.br/bitstream/riu/4939/1/NATALIA%20HORSTMANN%20RISSO.pdf" TargetMode="External"/><Relationship Id="rId49" Type="http://schemas.openxmlformats.org/officeDocument/2006/relationships/image" Target="media/image46.png"/><Relationship Id="rId103" Type="http://schemas.openxmlformats.org/officeDocument/2006/relationships/image" Target="media/image44.png"/><Relationship Id="rId102" Type="http://schemas.openxmlformats.org/officeDocument/2006/relationships/image" Target="media/image11.png"/><Relationship Id="rId101" Type="http://schemas.openxmlformats.org/officeDocument/2006/relationships/image" Target="media/image18.png"/><Relationship Id="rId100" Type="http://schemas.openxmlformats.org/officeDocument/2006/relationships/image" Target="media/image2.png"/><Relationship Id="rId31" Type="http://schemas.openxmlformats.org/officeDocument/2006/relationships/image" Target="media/image50.png"/><Relationship Id="rId30" Type="http://schemas.openxmlformats.org/officeDocument/2006/relationships/image" Target="media/image57.png"/><Relationship Id="rId33" Type="http://schemas.openxmlformats.org/officeDocument/2006/relationships/image" Target="media/image52.png"/><Relationship Id="rId32" Type="http://schemas.openxmlformats.org/officeDocument/2006/relationships/image" Target="media/image49.png"/><Relationship Id="rId35" Type="http://schemas.openxmlformats.org/officeDocument/2006/relationships/image" Target="media/image69.png"/><Relationship Id="rId34" Type="http://schemas.openxmlformats.org/officeDocument/2006/relationships/image" Target="media/image64.png"/><Relationship Id="rId37" Type="http://schemas.openxmlformats.org/officeDocument/2006/relationships/image" Target="media/image63.png"/><Relationship Id="rId36" Type="http://schemas.openxmlformats.org/officeDocument/2006/relationships/image" Target="media/image73.png"/><Relationship Id="rId39" Type="http://schemas.openxmlformats.org/officeDocument/2006/relationships/image" Target="media/image72.png"/><Relationship Id="rId38" Type="http://schemas.openxmlformats.org/officeDocument/2006/relationships/image" Target="media/image70.png"/><Relationship Id="rId20" Type="http://schemas.openxmlformats.org/officeDocument/2006/relationships/hyperlink" Target="https://doi.org/10.17058/reci.v3i3.3700" TargetMode="External"/><Relationship Id="rId22" Type="http://schemas.openxmlformats.org/officeDocument/2006/relationships/hyperlink" Target="http://www.determinantes.fiocruz.br/" TargetMode="External"/><Relationship Id="rId21" Type="http://schemas.openxmlformats.org/officeDocument/2006/relationships/hyperlink" Target="https://doi.org/10.1590/S0103-73312007000100006" TargetMode="External"/><Relationship Id="rId24" Type="http://schemas.openxmlformats.org/officeDocument/2006/relationships/hyperlink" Target="http://hdl.handle.net/11449/110622" TargetMode="External"/><Relationship Id="rId23" Type="http://schemas.openxmlformats.org/officeDocument/2006/relationships/hyperlink" Target="https://doi.org/10.15446/rsap.V20n2.68155" TargetMode="External"/><Relationship Id="rId26" Type="http://schemas.openxmlformats.org/officeDocument/2006/relationships/image" Target="media/image31.png"/><Relationship Id="rId25" Type="http://schemas.openxmlformats.org/officeDocument/2006/relationships/hyperlink" Target="http://dspace.sti.ufcg.edu.br:8080/jspui/handle/riufcg/11728" TargetMode="External"/><Relationship Id="rId28" Type="http://schemas.openxmlformats.org/officeDocument/2006/relationships/image" Target="media/image55.png"/><Relationship Id="rId27" Type="http://schemas.openxmlformats.org/officeDocument/2006/relationships/image" Target="media/image53.png"/><Relationship Id="rId29" Type="http://schemas.openxmlformats.org/officeDocument/2006/relationships/image" Target="media/image71.png"/><Relationship Id="rId95" Type="http://schemas.openxmlformats.org/officeDocument/2006/relationships/image" Target="media/image36.png"/><Relationship Id="rId94" Type="http://schemas.openxmlformats.org/officeDocument/2006/relationships/image" Target="media/image35.png"/><Relationship Id="rId97" Type="http://schemas.openxmlformats.org/officeDocument/2006/relationships/image" Target="media/image19.png"/><Relationship Id="rId96" Type="http://schemas.openxmlformats.org/officeDocument/2006/relationships/image" Target="media/image22.png"/><Relationship Id="rId11" Type="http://schemas.openxmlformats.org/officeDocument/2006/relationships/header" Target="header4.xml"/><Relationship Id="rId99" Type="http://schemas.openxmlformats.org/officeDocument/2006/relationships/image" Target="media/image15.png"/><Relationship Id="rId10" Type="http://schemas.openxmlformats.org/officeDocument/2006/relationships/header" Target="header1.xml"/><Relationship Id="rId98" Type="http://schemas.openxmlformats.org/officeDocument/2006/relationships/image" Target="media/image5.png"/><Relationship Id="rId13" Type="http://schemas.openxmlformats.org/officeDocument/2006/relationships/image" Target="media/image59.jpg"/><Relationship Id="rId12" Type="http://schemas.openxmlformats.org/officeDocument/2006/relationships/image" Target="media/image13.jpg"/><Relationship Id="rId91" Type="http://schemas.openxmlformats.org/officeDocument/2006/relationships/image" Target="media/image26.png"/><Relationship Id="rId90" Type="http://schemas.openxmlformats.org/officeDocument/2006/relationships/image" Target="media/image39.png"/><Relationship Id="rId93" Type="http://schemas.openxmlformats.org/officeDocument/2006/relationships/image" Target="media/image54.png"/><Relationship Id="rId92" Type="http://schemas.openxmlformats.org/officeDocument/2006/relationships/image" Target="media/image28.png"/><Relationship Id="rId15" Type="http://schemas.openxmlformats.org/officeDocument/2006/relationships/hyperlink" Target="http://hdl.handle.net/1843/BUOS-8BWGGJ" TargetMode="External"/><Relationship Id="rId14" Type="http://schemas.openxmlformats.org/officeDocument/2006/relationships/header" Target="header3.xml"/><Relationship Id="rId17" Type="http://schemas.openxmlformats.org/officeDocument/2006/relationships/hyperlink" Target="http://portal.saude.gov.br/portal/arquivos/pdf/boletim_epidemiologico_zoonoses_062009.pdf" TargetMode="External"/><Relationship Id="rId16" Type="http://schemas.openxmlformats.org/officeDocument/2006/relationships/hyperlink" Target="https://doi.org/10.3389/fpubh.2020.00318" TargetMode="External"/><Relationship Id="rId19" Type="http://schemas.openxmlformats.org/officeDocument/2006/relationships/hyperlink" Target="http://portalsinan.saude.gov.br/images/documentos/Agravos/Notificacao_Individual/DIC_DADOS_NET---Notificao-Individual_rev.pdf" TargetMode="External"/><Relationship Id="rId18" Type="http://schemas.openxmlformats.org/officeDocument/2006/relationships/hyperlink" Target="http://portalarquivos.saude.gov.br/images/pdf/2015/outubro/19/Normas-tecnicas-profilaxia-raiva.pdf" TargetMode="External"/><Relationship Id="rId84" Type="http://schemas.openxmlformats.org/officeDocument/2006/relationships/image" Target="media/image60.png"/><Relationship Id="rId83" Type="http://schemas.openxmlformats.org/officeDocument/2006/relationships/image" Target="media/image66.png"/><Relationship Id="rId86" Type="http://schemas.openxmlformats.org/officeDocument/2006/relationships/image" Target="media/image62.png"/><Relationship Id="rId85" Type="http://schemas.openxmlformats.org/officeDocument/2006/relationships/image" Target="media/image61.png"/><Relationship Id="rId88" Type="http://schemas.openxmlformats.org/officeDocument/2006/relationships/image" Target="media/image34.png"/><Relationship Id="rId87" Type="http://schemas.openxmlformats.org/officeDocument/2006/relationships/image" Target="media/image51.png"/><Relationship Id="rId89" Type="http://schemas.openxmlformats.org/officeDocument/2006/relationships/image" Target="media/image24.png"/><Relationship Id="rId80" Type="http://schemas.openxmlformats.org/officeDocument/2006/relationships/image" Target="media/image43.png"/><Relationship Id="rId82" Type="http://schemas.openxmlformats.org/officeDocument/2006/relationships/image" Target="media/image56.png"/><Relationship Id="rId81" Type="http://schemas.openxmlformats.org/officeDocument/2006/relationships/image" Target="media/image6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7.jpg"/><Relationship Id="rId8" Type="http://schemas.openxmlformats.org/officeDocument/2006/relationships/image" Target="media/image37.jpg"/><Relationship Id="rId73" Type="http://schemas.openxmlformats.org/officeDocument/2006/relationships/image" Target="media/image1.png"/><Relationship Id="rId72" Type="http://schemas.openxmlformats.org/officeDocument/2006/relationships/image" Target="media/image65.jpg"/><Relationship Id="rId75" Type="http://schemas.openxmlformats.org/officeDocument/2006/relationships/image" Target="media/image6.png"/><Relationship Id="rId74" Type="http://schemas.openxmlformats.org/officeDocument/2006/relationships/image" Target="media/image3.png"/><Relationship Id="rId77" Type="http://schemas.openxmlformats.org/officeDocument/2006/relationships/image" Target="media/image41.png"/><Relationship Id="rId76" Type="http://schemas.openxmlformats.org/officeDocument/2006/relationships/image" Target="media/image23.png"/><Relationship Id="rId79" Type="http://schemas.openxmlformats.org/officeDocument/2006/relationships/image" Target="media/image58.png"/><Relationship Id="rId78" Type="http://schemas.openxmlformats.org/officeDocument/2006/relationships/image" Target="media/image17.png"/><Relationship Id="rId71" Type="http://schemas.openxmlformats.org/officeDocument/2006/relationships/image" Target="media/image74.jpg"/><Relationship Id="rId70" Type="http://schemas.openxmlformats.org/officeDocument/2006/relationships/image" Target="media/image75.jpg"/><Relationship Id="rId62" Type="http://schemas.openxmlformats.org/officeDocument/2006/relationships/image" Target="media/image10.png"/><Relationship Id="rId61" Type="http://schemas.openxmlformats.org/officeDocument/2006/relationships/image" Target="media/image30.png"/><Relationship Id="rId64" Type="http://schemas.openxmlformats.org/officeDocument/2006/relationships/image" Target="media/image45.png"/><Relationship Id="rId63" Type="http://schemas.openxmlformats.org/officeDocument/2006/relationships/image" Target="media/image29.png"/><Relationship Id="rId66" Type="http://schemas.openxmlformats.org/officeDocument/2006/relationships/image" Target="media/image20.png"/><Relationship Id="rId65" Type="http://schemas.openxmlformats.org/officeDocument/2006/relationships/image" Target="media/image16.png"/><Relationship Id="rId68" Type="http://schemas.openxmlformats.org/officeDocument/2006/relationships/image" Target="media/image8.png"/><Relationship Id="rId67" Type="http://schemas.openxmlformats.org/officeDocument/2006/relationships/image" Target="media/image7.png"/><Relationship Id="rId60" Type="http://schemas.openxmlformats.org/officeDocument/2006/relationships/image" Target="media/image12.png"/><Relationship Id="rId69" Type="http://schemas.openxmlformats.org/officeDocument/2006/relationships/image" Target="media/image14.png"/><Relationship Id="rId51" Type="http://schemas.openxmlformats.org/officeDocument/2006/relationships/image" Target="media/image33.png"/><Relationship Id="rId50" Type="http://schemas.openxmlformats.org/officeDocument/2006/relationships/image" Target="media/image68.png"/><Relationship Id="rId53" Type="http://schemas.openxmlformats.org/officeDocument/2006/relationships/image" Target="media/image38.png"/><Relationship Id="rId52" Type="http://schemas.openxmlformats.org/officeDocument/2006/relationships/image" Target="media/image40.png"/><Relationship Id="rId55" Type="http://schemas.openxmlformats.org/officeDocument/2006/relationships/image" Target="media/image47.png"/><Relationship Id="rId54" Type="http://schemas.openxmlformats.org/officeDocument/2006/relationships/image" Target="media/image48.png"/><Relationship Id="rId57" Type="http://schemas.openxmlformats.org/officeDocument/2006/relationships/image" Target="media/image4.jpg"/><Relationship Id="rId56" Type="http://schemas.openxmlformats.org/officeDocument/2006/relationships/image" Target="media/image42.png"/><Relationship Id="rId59" Type="http://schemas.openxmlformats.org/officeDocument/2006/relationships/image" Target="media/image9.png"/><Relationship Id="rId58" Type="http://schemas.openxmlformats.org/officeDocument/2006/relationships/image" Target="media/image25.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mbriaMath-regular.tt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nPpod+ydU1RcmHZj4XXmg+dYcw==">CgMxLjAyCWlkLmdqZGd4czIJaC4zMGowemxsMgloLjFmb2I5dGUyCWguM3pueXNoNzIJa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2023-02-06T17:20:00Z</dcterms:created>
  <dc:creator>WIN7</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ies>
</file>